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大标宋_GBK" w:eastAsia="方正大标宋_GBK" w:cs="方正大标宋_GBK"/>
          <w:sz w:val="36"/>
          <w:szCs w:val="36"/>
          <w:lang w:val="en-US" w:eastAsia="zh-CN"/>
        </w:rPr>
      </w:pPr>
      <w:r>
        <w:rPr>
          <w:rFonts w:hint="eastAsia" w:ascii="方正大标宋_GBK" w:eastAsia="方正大标宋_GBK" w:cs="方正大标宋_GBK"/>
          <w:sz w:val="36"/>
          <w:szCs w:val="36"/>
          <w:lang w:val="en-US" w:eastAsia="zh-CN"/>
        </w:rPr>
        <w:t>建湖县商务局</w:t>
      </w:r>
    </w:p>
    <w:p>
      <w:pPr>
        <w:jc w:val="center"/>
        <w:rPr>
          <w:rFonts w:hint="eastAsia" w:ascii="方正大标宋_GBK" w:eastAsia="方正大标宋_GBK" w:cs="方正大标宋_GBK"/>
          <w:sz w:val="36"/>
          <w:szCs w:val="36"/>
          <w:lang w:val="en-US" w:eastAsia="zh-CN"/>
        </w:rPr>
      </w:pPr>
      <w:r>
        <w:rPr>
          <w:rFonts w:hint="eastAsia" w:ascii="方正大标宋_GBK" w:eastAsia="方正大标宋_GBK" w:cs="方正大标宋_GBK"/>
          <w:sz w:val="36"/>
          <w:szCs w:val="36"/>
          <w:lang w:val="en-US" w:eastAsia="zh-CN"/>
        </w:rPr>
        <w:t>202</w:t>
      </w:r>
      <w:r>
        <w:rPr>
          <w:rFonts w:ascii="方正大标宋_GBK" w:eastAsia="方正大标宋_GBK" w:cs="方正大标宋_GBK"/>
          <w:sz w:val="36"/>
          <w:szCs w:val="36"/>
          <w:lang w:val="en-US" w:eastAsia="zh-CN"/>
        </w:rPr>
        <w:t>1</w:t>
      </w:r>
      <w:r>
        <w:rPr>
          <w:rFonts w:hint="eastAsia" w:ascii="方正大标宋_GBK" w:eastAsia="方正大标宋_GBK" w:cs="方正大标宋_GBK"/>
          <w:sz w:val="36"/>
          <w:szCs w:val="36"/>
          <w:lang w:val="en-US" w:eastAsia="zh-CN"/>
        </w:rPr>
        <w:t>年政府信息公开工作年度报告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cs="仿宋_GB2312"/>
          <w:sz w:val="30"/>
          <w:szCs w:val="30"/>
          <w:lang w:val="en-US" w:eastAsia="zh-CN"/>
        </w:rPr>
      </w:pPr>
      <w:r>
        <w:rPr>
          <w:rFonts w:hint="eastAsia" w:ascii="仿宋_GB2312" w:eastAsia="仿宋_GB2312" w:cs="仿宋_GB2312"/>
          <w:sz w:val="30"/>
          <w:szCs w:val="30"/>
          <w:lang w:val="en-US" w:eastAsia="zh-CN"/>
        </w:rPr>
        <w:t>本报告是根据《中华人民共和国政府信息公开条例》（以下简称《条例》）要求编制而成。全文包括总体情况、主动公开政府信息情况、收到和处理政府信息公开申请情况、政府信息公开行政复议行政诉讼情况，存在的主要问题及改进申请情况。报告中所列数据的统计期限为202</w:t>
      </w:r>
      <w:r>
        <w:rPr>
          <w:rFonts w:ascii="仿宋_GB2312" w:eastAsia="仿宋_GB2312" w:cs="仿宋_GB2312"/>
          <w:sz w:val="30"/>
          <w:szCs w:val="30"/>
          <w:lang w:val="en-US" w:eastAsia="zh-CN"/>
        </w:rPr>
        <w:t>1</w:t>
      </w:r>
      <w:r>
        <w:rPr>
          <w:rFonts w:hint="eastAsia" w:ascii="仿宋_GB2312" w:eastAsia="仿宋_GB2312" w:cs="仿宋_GB2312"/>
          <w:sz w:val="30"/>
          <w:szCs w:val="30"/>
          <w:lang w:val="en-US" w:eastAsia="zh-CN"/>
        </w:rPr>
        <w:t>年1月1日到202</w:t>
      </w:r>
      <w:r>
        <w:rPr>
          <w:rFonts w:ascii="仿宋_GB2312" w:eastAsia="仿宋_GB2312" w:cs="仿宋_GB2312"/>
          <w:sz w:val="30"/>
          <w:szCs w:val="30"/>
          <w:lang w:val="en-US" w:eastAsia="zh-CN"/>
        </w:rPr>
        <w:t>1</w:t>
      </w:r>
      <w:r>
        <w:rPr>
          <w:rFonts w:hint="eastAsia" w:ascii="仿宋_GB2312" w:eastAsia="仿宋_GB2312" w:cs="仿宋_GB2312"/>
          <w:sz w:val="30"/>
          <w:szCs w:val="30"/>
          <w:lang w:val="en-US" w:eastAsia="zh-CN"/>
        </w:rPr>
        <w:t>年12月31日止。本报告的电子版可在建湖县人民政府门户网站下政务公开目录政府信息公开年度报告专栏下载（网址：</w:t>
      </w:r>
      <w:r>
        <w:rPr>
          <w:rStyle w:val="7"/>
          <w:rFonts w:hint="eastAsia" w:ascii="仿宋_GB2312" w:eastAsia="仿宋_GB2312" w:cs="仿宋_GB2312"/>
          <w:sz w:val="30"/>
          <w:szCs w:val="30"/>
          <w:lang w:val="en-US" w:eastAsia="zh-CN"/>
        </w:rPr>
        <w:fldChar w:fldCharType="begin"/>
      </w:r>
      <w:r>
        <w:instrText xml:space="preserve">HYPERLINK "http://www.jianhu.gov.cn/col/co117402/index.html?number=ST019）。"</w:instrText>
      </w:r>
      <w:r>
        <w:rPr>
          <w:rStyle w:val="7"/>
          <w:rFonts w:hint="eastAsia" w:ascii="仿宋_GB2312" w:eastAsia="仿宋_GB2312" w:cs="仿宋_GB2312"/>
          <w:sz w:val="30"/>
          <w:szCs w:val="30"/>
          <w:lang w:val="en-US" w:eastAsia="zh-CN"/>
        </w:rPr>
        <w:fldChar w:fldCharType="separate"/>
      </w:r>
      <w:r>
        <w:rPr>
          <w:rStyle w:val="7"/>
          <w:rFonts w:hint="eastAsia" w:ascii="仿宋_GB2312" w:eastAsia="仿宋_GB2312" w:cs="仿宋_GB2312"/>
          <w:sz w:val="30"/>
          <w:szCs w:val="30"/>
          <w:lang w:val="en-US" w:eastAsia="zh-CN"/>
        </w:rPr>
        <w:t>http://www.jianhu.gov.cn/col/co117402/index.html?number=ST019）。</w:t>
      </w:r>
      <w:r>
        <w:rPr>
          <w:rStyle w:val="7"/>
          <w:rFonts w:hint="eastAsia" w:ascii="仿宋_GB2312" w:eastAsia="仿宋_GB2312" w:cs="仿宋_GB2312"/>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cs="仿宋_GB2312"/>
          <w:sz w:val="30"/>
          <w:szCs w:val="30"/>
          <w:lang w:val="en-US" w:eastAsia="zh-CN"/>
        </w:rPr>
      </w:pPr>
      <w:r>
        <w:rPr>
          <w:rFonts w:hint="eastAsia" w:ascii="仿宋_GB2312" w:eastAsia="仿宋_GB2312" w:cs="仿宋_GB2312"/>
          <w:sz w:val="30"/>
          <w:szCs w:val="30"/>
          <w:lang w:val="en-US" w:eastAsia="zh-CN"/>
        </w:rPr>
        <w:t>如对本报告有任何疑问，请与县商务局办公室联系（地址：建湖县城明珠东路296号，邮编224700，电话：0515-86212106）。</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00" w:firstLineChars="200"/>
        <w:textAlignment w:val="auto"/>
        <w:rPr>
          <w:rFonts w:hint="eastAsia" w:ascii="黑体" w:eastAsia="黑体" w:cs="仿宋_GB2312"/>
          <w:sz w:val="30"/>
          <w:szCs w:val="30"/>
          <w:lang w:val="en-US" w:eastAsia="zh-CN"/>
        </w:rPr>
      </w:pPr>
      <w:r>
        <w:rPr>
          <w:rFonts w:hint="eastAsia" w:ascii="黑体" w:eastAsia="黑体" w:cs="仿宋_GB2312"/>
          <w:sz w:val="30"/>
          <w:szCs w:val="30"/>
          <w:lang w:val="en-US" w:eastAsia="zh-CN"/>
        </w:rPr>
        <w:t>总体情况</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hint="eastAsia" w:ascii="仿宋_GB2312" w:eastAsia="仿宋_GB2312" w:cs="仿宋_GB2312"/>
          <w:sz w:val="30"/>
          <w:szCs w:val="30"/>
          <w:lang w:val="en-US" w:eastAsia="zh-CN"/>
        </w:rPr>
      </w:pPr>
      <w:r>
        <w:rPr>
          <w:rFonts w:hint="eastAsia" w:ascii="仿宋_GB2312" w:eastAsia="仿宋_GB2312" w:cs="仿宋_GB2312"/>
          <w:sz w:val="30"/>
          <w:szCs w:val="30"/>
          <w:lang w:val="en-US" w:eastAsia="zh-CN"/>
        </w:rPr>
        <w:t>建湖县商务局主要负责开放型经济、内贸市场流通发展及原物资、外经贸下属企业的遗留问题处理工作。</w:t>
      </w:r>
    </w:p>
    <w:p>
      <w:pPr>
        <w:keepNext w:val="0"/>
        <w:keepLines w:val="0"/>
        <w:pageBreakBefore w:val="0"/>
        <w:widowControl w:val="0"/>
        <w:kinsoku/>
        <w:wordWrap/>
        <w:overflowPunct/>
        <w:topLinePunct w:val="0"/>
        <w:autoSpaceDE/>
        <w:autoSpaceDN/>
        <w:adjustRightInd/>
        <w:snapToGrid/>
        <w:spacing w:line="520" w:lineRule="exact"/>
        <w:ind w:left="0" w:firstLine="600" w:firstLineChars="200"/>
        <w:rPr>
          <w:rFonts w:hint="eastAsia" w:ascii="仿宋_GB2312" w:eastAsia="仿宋_GB2312" w:cs="仿宋_GB2312"/>
          <w:sz w:val="30"/>
          <w:szCs w:val="30"/>
          <w:lang w:val="en-US" w:eastAsia="zh-CN"/>
        </w:rPr>
      </w:pPr>
      <w:r>
        <w:rPr>
          <w:rFonts w:hint="eastAsia" w:ascii="仿宋_GB2312" w:eastAsia="仿宋_GB2312" w:cs="仿宋_GB2312"/>
          <w:sz w:val="30"/>
          <w:szCs w:val="30"/>
          <w:lang w:val="en-US" w:eastAsia="zh-CN"/>
        </w:rPr>
        <w:t>无主动公开的规章、规范性文件、行政许可、其他对外管理服务事项、行政管制事项、事业性收费</w:t>
      </w:r>
      <w:r>
        <w:rPr>
          <w:rFonts w:ascii="仿宋_GB2312" w:eastAsia="仿宋_GB2312" w:cs="仿宋_GB2312"/>
          <w:sz w:val="30"/>
          <w:szCs w:val="30"/>
          <w:lang w:val="en-US" w:eastAsia="zh-CN"/>
        </w:rPr>
        <w:t>、</w:t>
      </w:r>
      <w:r>
        <w:rPr>
          <w:rFonts w:hint="eastAsia" w:ascii="仿宋_GB2312" w:eastAsia="仿宋_GB2312" w:cs="仿宋_GB2312"/>
          <w:sz w:val="30"/>
          <w:szCs w:val="30"/>
          <w:lang w:val="en-US" w:eastAsia="zh-CN"/>
        </w:rPr>
        <w:t>行政处罚1项</w:t>
      </w:r>
      <w:r>
        <w:rPr>
          <w:rFonts w:ascii="仿宋_GB2312" w:eastAsia="仿宋_GB2312" w:cs="仿宋_GB2312"/>
          <w:sz w:val="30"/>
          <w:szCs w:val="30"/>
          <w:lang w:val="en-US" w:eastAsia="zh-CN"/>
        </w:rPr>
        <w:t>。</w:t>
      </w:r>
      <w:r>
        <w:rPr>
          <w:rFonts w:hint="eastAsia" w:ascii="仿宋_GB2312" w:eastAsia="仿宋_GB2312" w:cs="仿宋_GB2312"/>
          <w:sz w:val="30"/>
          <w:szCs w:val="30"/>
          <w:lang w:val="en-US" w:eastAsia="zh-CN"/>
        </w:rPr>
        <w:t>主动公开政府集中采购2项。</w:t>
      </w:r>
      <w:r>
        <w:rPr>
          <w:rFonts w:ascii="仿宋_GB2312" w:eastAsia="仿宋_GB2312" w:cs="仿宋_GB2312"/>
          <w:sz w:val="30"/>
          <w:szCs w:val="30"/>
          <w:lang w:val="en-US" w:eastAsia="zh-CN"/>
        </w:rPr>
        <w:t>无</w:t>
      </w:r>
      <w:r>
        <w:rPr>
          <w:rFonts w:hint="eastAsia" w:ascii="仿宋_GB2312" w:eastAsia="仿宋_GB2312" w:cs="仿宋_GB2312"/>
          <w:sz w:val="30"/>
          <w:szCs w:val="30"/>
          <w:lang w:val="en-US" w:eastAsia="zh-CN"/>
        </w:rPr>
        <w:t>依申请公开办理事项。</w:t>
      </w:r>
    </w:p>
    <w:p>
      <w:pPr>
        <w:widowControl/>
        <w:ind w:firstLine="640" w:firstLineChars="200"/>
        <w:rPr>
          <w:rFonts w:ascii="黑体" w:eastAsia="黑体"/>
          <w:sz w:val="32"/>
          <w:szCs w:val="32"/>
        </w:rPr>
      </w:pPr>
      <w:r>
        <w:rPr>
          <w:rFonts w:hint="eastAsia" w:ascii="黑体" w:eastAsia="黑体"/>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13"/>
        <w:gridCol w:w="1875"/>
        <w:gridCol w:w="1271"/>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2"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本年制发件数</w:t>
            </w:r>
          </w:p>
        </w:tc>
        <w:tc>
          <w:tcPr>
            <w:tcW w:w="1271"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本年废止件数</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规章</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c>
          <w:tcPr>
            <w:tcW w:w="1271"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规范性文件</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c>
          <w:tcPr>
            <w:tcW w:w="1271"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4"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信息内容</w:t>
            </w:r>
          </w:p>
        </w:tc>
        <w:tc>
          <w:tcPr>
            <w:tcW w:w="5027" w:type="dxa"/>
            <w:gridSpan w:val="3"/>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行政许可</w:t>
            </w:r>
          </w:p>
        </w:tc>
        <w:tc>
          <w:tcPr>
            <w:tcW w:w="5027" w:type="dxa"/>
            <w:gridSpan w:val="3"/>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信息内容</w:t>
            </w:r>
          </w:p>
        </w:tc>
        <w:tc>
          <w:tcPr>
            <w:tcW w:w="5027" w:type="dxa"/>
            <w:gridSpan w:val="3"/>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行政处罚</w:t>
            </w:r>
          </w:p>
        </w:tc>
        <w:tc>
          <w:tcPr>
            <w:tcW w:w="5027" w:type="dxa"/>
            <w:gridSpan w:val="3"/>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行政强制</w:t>
            </w:r>
          </w:p>
        </w:tc>
        <w:tc>
          <w:tcPr>
            <w:tcW w:w="5027" w:type="dxa"/>
            <w:gridSpan w:val="3"/>
            <w:tcBorders>
              <w:top w:val="nil"/>
              <w:left w:val="nil"/>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7"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信息内容</w:t>
            </w:r>
          </w:p>
        </w:tc>
        <w:tc>
          <w:tcPr>
            <w:tcW w:w="5027" w:type="dxa"/>
            <w:gridSpan w:val="3"/>
            <w:tcBorders>
              <w:top w:val="nil"/>
              <w:left w:val="nil"/>
              <w:bottom w:val="single" w:color="auto" w:sz="8" w:space="0"/>
              <w:right w:val="single" w:color="000000"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color w:val="000000"/>
                <w:sz w:val="20"/>
              </w:rPr>
              <w:t>行政事业性收费</w:t>
            </w:r>
          </w:p>
        </w:tc>
        <w:tc>
          <w:tcPr>
            <w:tcW w:w="5027" w:type="dxa"/>
            <w:gridSpan w:val="3"/>
            <w:tcBorders>
              <w:top w:val="nil"/>
              <w:left w:val="nil"/>
              <w:bottom w:val="single" w:color="auto" w:sz="8" w:space="0"/>
              <w:right w:val="single" w:color="000000" w:sz="8" w:space="0"/>
              <w:tl2br w:val="nil"/>
              <w:tr2bl w:val="nil"/>
            </w:tcBorders>
            <w:noWrap/>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4"/>
                <w:szCs w:val="24"/>
              </w:rPr>
              <w:t>0</w:t>
            </w:r>
          </w:p>
        </w:tc>
      </w:tr>
    </w:tbl>
    <w:p>
      <w:pPr>
        <w:widowControl/>
        <w:ind w:firstLine="640" w:firstLineChars="200"/>
        <w:rPr>
          <w:rFonts w:ascii="黑体" w:eastAsia="黑体"/>
          <w:sz w:val="32"/>
          <w:szCs w:val="32"/>
        </w:rPr>
      </w:pPr>
      <w:r>
        <w:rPr>
          <w:rFonts w:hint="eastAsia" w:ascii="黑体" w:eastAsia="黑体"/>
          <w:sz w:val="32"/>
          <w:szCs w:val="32"/>
        </w:rPr>
        <w:t>三、收到和处理政府信息公开申请情况</w:t>
      </w:r>
    </w:p>
    <w:tbl>
      <w:tblPr>
        <w:tblStyle w:val="3"/>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816"/>
        <w:gridCol w:w="652"/>
        <w:gridCol w:w="1996"/>
        <w:gridCol w:w="818"/>
        <w:gridCol w:w="641"/>
        <w:gridCol w:w="737"/>
        <w:gridCol w:w="872"/>
        <w:gridCol w:w="873"/>
        <w:gridCol w:w="655"/>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楷体" w:cs="Times New Roman"/>
                <w:snapToGrid/>
                <w:sz w:val="20"/>
                <w:szCs w:val="22"/>
              </w:rPr>
              <w:t>（本列数据的勾稽关系为：第一项加第二项之和，等于第三项加第四项之和）</w:t>
            </w:r>
          </w:p>
        </w:tc>
        <w:tc>
          <w:tcPr>
            <w:tcW w:w="5266" w:type="dxa"/>
            <w:gridSpan w:val="7"/>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8"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自然人</w:t>
            </w:r>
          </w:p>
        </w:tc>
        <w:tc>
          <w:tcPr>
            <w:tcW w:w="3778" w:type="dxa"/>
            <w:gridSpan w:val="5"/>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法人或其他组织</w:t>
            </w:r>
          </w:p>
        </w:tc>
        <w:tc>
          <w:tcPr>
            <w:tcW w:w="670"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8"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商业企业</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科研机构</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社会公益组织</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法律服务机构</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其他</w:t>
            </w:r>
          </w:p>
        </w:tc>
        <w:tc>
          <w:tcPr>
            <w:tcW w:w="670"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sz w:val="20"/>
              </w:rPr>
              <w:t>一、本年新收政府信息公开申请数量</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sz w:val="20"/>
              </w:rPr>
              <w:t>二、上年结转政府信息公开申请数量</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4"/>
                <w:szCs w:val="24"/>
              </w:rPr>
            </w:pPr>
            <w:r>
              <w:rPr>
                <w:rFonts w:ascii="Times New Roman" w:hAnsi="Times New Roman" w:eastAsia="宋体" w:cs="Times New Roman"/>
                <w:snapToGrid/>
                <w:sz w:val="20"/>
              </w:rPr>
              <w:t>三、本年度办理结果</w:t>
            </w:r>
          </w:p>
        </w:tc>
        <w:tc>
          <w:tcPr>
            <w:tcW w:w="3466" w:type="dxa"/>
            <w:gridSpan w:val="3"/>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（一）予以公开</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3466" w:type="dxa"/>
            <w:gridSpan w:val="3"/>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320" w:lineRule="exact"/>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（二）部分公开（</w:t>
            </w:r>
            <w:r>
              <w:rPr>
                <w:rFonts w:ascii="Times New Roman" w:hAnsi="Times New Roman" w:eastAsia="楷体" w:cs="Times New Roman"/>
                <w:snapToGrid/>
                <w:sz w:val="20"/>
                <w:szCs w:val="22"/>
              </w:rPr>
              <w:t>区分处理的，只计这一情形，不计其他情形</w:t>
            </w:r>
            <w:r>
              <w:rPr>
                <w:rFonts w:ascii="Times New Roman" w:hAnsi="Times New Roman" w:eastAsia="宋体" w:cs="Times New Roman"/>
                <w:snapToGrid/>
                <w:sz w:val="20"/>
                <w:szCs w:val="22"/>
              </w:rPr>
              <w:t>）</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（三）不予公开</w:t>
            </w: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1.属于国家秘密</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2.其他法律行政法规禁止公开</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3.危及“三安全一稳定”</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4.保护第三方合法权益</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5.属于三类内部事务信息</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6.属于四类过程性信息</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7.属于行政执法案卷</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8.属于行政查询事项</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（四）无法提供</w:t>
            </w: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1.本机关不掌握相关政府信息</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2.没有现成信息需要另行制作</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3.补正后申请内容仍不明确</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（五）不予处理</w:t>
            </w: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1.信访举报投诉类申请</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2.重复申请</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3.要求提供公开出版物</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4.无正当理由大量反复申请</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8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2652" w:type="dxa"/>
            <w:gridSpan w:val="2"/>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5.要求行政机关确认或重新出具已获取信息</w:t>
            </w:r>
          </w:p>
        </w:tc>
        <w:tc>
          <w:tcPr>
            <w:tcW w:w="81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1468" w:type="dxa"/>
            <w:gridSpan w:val="2"/>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（六）其他处理</w:t>
            </w:r>
          </w:p>
        </w:tc>
        <w:tc>
          <w:tcPr>
            <w:tcW w:w="199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1.申请人无正当理由逾期不补正、行政机关不再处理其政府信息公开申请</w:t>
            </w:r>
          </w:p>
        </w:tc>
        <w:tc>
          <w:tcPr>
            <w:tcW w:w="818"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1468" w:type="dxa"/>
            <w:gridSpan w:val="2"/>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1998"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p>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2.申请人逾期未按收费通知要求缴纳费用、行政机关不再处理其政府信息公开申请</w:t>
            </w:r>
          </w:p>
        </w:tc>
        <w:tc>
          <w:tcPr>
            <w:tcW w:w="818"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641"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737"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872"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873"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655"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670"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614" w:type="dxa"/>
            <w:vMerge w:val="continue"/>
            <w:tcBorders>
              <w:top w:val="single" w:color="auto" w:sz="8" w:space="0"/>
              <w:left w:val="single" w:color="auto" w:sz="8" w:space="0"/>
              <w:bottom w:val="single" w:color="auto" w:sz="8" w:space="0"/>
              <w:right w:val="single" w:color="auto" w:sz="8" w:space="0"/>
              <w:tl2br w:val="nil"/>
              <w:tr2bl w:val="nil"/>
            </w:tcBorders>
            <w:vAlign w:val="center"/>
          </w:tcPr>
          <w:p/>
        </w:tc>
        <w:tc>
          <w:tcPr>
            <w:tcW w:w="1468" w:type="dxa"/>
            <w:gridSpan w:val="2"/>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tc>
        <w:tc>
          <w:tcPr>
            <w:tcW w:w="1998"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3.其他</w:t>
            </w:r>
          </w:p>
        </w:tc>
        <w:tc>
          <w:tcPr>
            <w:tcW w:w="818"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641"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737"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872"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873"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655"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c>
          <w:tcPr>
            <w:tcW w:w="670" w:type="dxa"/>
            <w:vMerge w:val="continue"/>
            <w:tcBorders>
              <w:top w:val="single" w:color="auto" w:sz="8" w:space="0"/>
              <w:left w:val="nil"/>
              <w:bottom w:val="single" w:color="auto" w:sz="8" w:space="0"/>
              <w:right w:val="single" w:color="auto" w:sz="8" w:space="0"/>
              <w:tl2br w:val="nil"/>
              <w:tr2bl w:val="nil"/>
            </w:tcBorders>
            <w:tcMar>
              <w:left w:w="108" w:type="dxa"/>
              <w:right w:w="108"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4" w:type="dxa"/>
            <w:vMerge w:val="continue"/>
            <w:tcBorders>
              <w:top w:val="nil"/>
              <w:left w:val="single" w:color="auto" w:sz="8" w:space="0"/>
              <w:bottom w:val="single" w:color="auto" w:sz="8" w:space="0"/>
              <w:right w:val="single" w:color="auto" w:sz="8" w:space="0"/>
              <w:tl2br w:val="nil"/>
              <w:tr2bl w:val="nil"/>
            </w:tcBorders>
            <w:vAlign w:val="center"/>
          </w:tcPr>
          <w:p/>
        </w:tc>
        <w:tc>
          <w:tcPr>
            <w:tcW w:w="3466" w:type="dxa"/>
            <w:gridSpan w:val="3"/>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0"/>
                <w:szCs w:val="22"/>
              </w:rPr>
            </w:pPr>
            <w:r>
              <w:rPr>
                <w:rFonts w:ascii="Times New Roman" w:hAnsi="Times New Roman" w:eastAsia="宋体" w:cs="Times New Roman"/>
                <w:snapToGrid/>
                <w:sz w:val="20"/>
                <w:szCs w:val="22"/>
              </w:rPr>
              <w:t>（七）总计</w:t>
            </w:r>
          </w:p>
        </w:tc>
        <w:tc>
          <w:tcPr>
            <w:tcW w:w="818"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0" w:type="dxa"/>
            <w:gridSpan w:val="4"/>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left"/>
              <w:rPr>
                <w:rFonts w:ascii="Times New Roman" w:hAnsi="Times New Roman" w:eastAsia="宋体" w:cs="Times New Roman"/>
                <w:snapToGrid/>
                <w:sz w:val="24"/>
                <w:szCs w:val="24"/>
              </w:rPr>
            </w:pPr>
            <w:r>
              <w:rPr>
                <w:rFonts w:ascii="Times New Roman" w:hAnsi="Times New Roman" w:eastAsia="宋体" w:cs="Times New Roman"/>
                <w:snapToGrid/>
                <w:sz w:val="20"/>
              </w:rPr>
              <w:t>四、结转下年度继续办理</w:t>
            </w:r>
          </w:p>
        </w:tc>
        <w:tc>
          <w:tcPr>
            <w:tcW w:w="818"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641"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737"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872"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r>
              <w:rPr>
                <w:rFonts w:ascii="Times New Roman" w:hAnsi="Times New Roman" w:eastAsia="宋体" w:cs="Times New Roman"/>
                <w:snapToGrid/>
                <w:sz w:val="20"/>
                <w:lang w:val="en-US" w:eastAsia="zh-CN"/>
              </w:rPr>
              <w:t>0</w:t>
            </w:r>
          </w:p>
        </w:tc>
        <w:tc>
          <w:tcPr>
            <w:tcW w:w="873"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55"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ascii="Times New Roman" w:hAnsi="Times New Roman" w:eastAsia="宋体" w:cs="Times New Roman"/>
                <w:snapToGrid/>
                <w:sz w:val="20"/>
              </w:rPr>
            </w:pPr>
            <w:r>
              <w:rPr>
                <w:rFonts w:ascii="Times New Roman" w:hAnsi="Times New Roman" w:eastAsia="宋体" w:cs="Times New Roman"/>
                <w:snapToGrid/>
                <w:sz w:val="20"/>
              </w:rPr>
              <w:t>0</w:t>
            </w:r>
          </w:p>
        </w:tc>
        <w:tc>
          <w:tcPr>
            <w:tcW w:w="670" w:type="dxa"/>
            <w:tcBorders>
              <w:top w:val="nil"/>
              <w:left w:val="nil"/>
              <w:bottom w:val="single" w:color="auto" w:sz="8" w:space="0"/>
              <w:right w:val="single" w:color="auto" w:sz="8" w:space="0"/>
              <w:tl2br w:val="nil"/>
              <w:tr2bl w:val="nil"/>
            </w:tcBorders>
            <w:tcMar>
              <w:left w:w="108" w:type="dxa"/>
              <w:right w:w="108" w:type="dxa"/>
            </w:tcMar>
            <w:vAlign w:val="center"/>
          </w:tcPr>
          <w:p>
            <w:pPr>
              <w:widowControl/>
              <w:autoSpaceDE/>
              <w:autoSpaceDN/>
              <w:snapToGrid/>
              <w:spacing w:line="240" w:lineRule="auto"/>
              <w:ind w:firstLine="0"/>
              <w:jc w:val="center"/>
              <w:rPr>
                <w:rFonts w:hint="eastAsia" w:ascii="Times New Roman" w:hAnsi="Times New Roman" w:eastAsia="宋体" w:cs="Times New Roman"/>
                <w:snapToGrid/>
                <w:sz w:val="20"/>
                <w:lang w:val="en-US" w:eastAsia="zh-CN"/>
              </w:rPr>
            </w:pPr>
          </w:p>
        </w:tc>
      </w:tr>
    </w:tbl>
    <w:p>
      <w:pPr>
        <w:widowControl/>
        <w:ind w:firstLine="640" w:firstLineChars="200"/>
        <w:rPr>
          <w:rFonts w:ascii="黑体" w:eastAsia="黑体"/>
          <w:sz w:val="32"/>
          <w:szCs w:val="32"/>
        </w:rPr>
      </w:pPr>
      <w:r>
        <w:rPr>
          <w:rFonts w:hint="eastAsia" w:ascii="黑体" w:eastAsia="黑体"/>
          <w:sz w:val="32"/>
          <w:szCs w:val="32"/>
        </w:rPr>
        <w:t>四、政府信息公开行政复议、行政诉讼情况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tc>
        <w:tc>
          <w:tcPr>
            <w:tcW w:w="604" w:type="dxa"/>
            <w:vMerge w:val="continue"/>
            <w:tcBorders>
              <w:top w:val="nil"/>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58" w:type="dxa"/>
            <w:vMerge w:val="continue"/>
            <w:tcBorders>
              <w:top w:val="single" w:color="auto" w:sz="8" w:space="0"/>
              <w:left w:val="nil"/>
              <w:bottom w:val="single" w:color="auto" w:sz="8" w:space="0"/>
              <w:right w:val="single" w:color="auto" w:sz="8" w:space="0"/>
            </w:tcBorders>
            <w:vAlign w:val="center"/>
          </w:tcPr>
          <w:p/>
        </w:tc>
        <w:tc>
          <w:tcPr>
            <w:tcW w:w="5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color w:val="000000"/>
                <w:sz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color w:val="000000"/>
                <w:sz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sz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cs="宋体"/>
                <w:sz w:val="24"/>
                <w:szCs w:val="24"/>
              </w:rPr>
            </w:pPr>
            <w:r>
              <w:rPr>
                <w:rFonts w:hint="eastAsia" w:ascii="宋体" w:cs="宋体"/>
                <w:color w:val="000000"/>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宋体" w:eastAsia="宋体" w:cs="宋体"/>
                <w:sz w:val="24"/>
                <w:szCs w:val="24"/>
                <w:lang w:val="en-US" w:eastAsia="zh-CN"/>
              </w:rPr>
            </w:pPr>
            <w:r>
              <w:rPr>
                <w:rFonts w:cs="Calibri"/>
                <w:sz w:val="20"/>
              </w:rPr>
              <w:t> </w:t>
            </w:r>
            <w:r>
              <w:rPr>
                <w:rFonts w:hint="eastAsia" w:cs="Calibri"/>
                <w:sz w:val="20"/>
              </w:rPr>
              <w:t xml:space="preserve"> </w:t>
            </w:r>
            <w:r>
              <w:rPr>
                <w:rFonts w:hint="eastAsia" w:cs="Calibri"/>
                <w:sz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r>
    </w:tbl>
    <w:p>
      <w:pPr>
        <w:widowControl/>
        <w:ind w:firstLine="640" w:firstLineChars="200"/>
        <w:rPr>
          <w:rFonts w:ascii="黑体" w:eastAsia="黑体"/>
          <w:sz w:val="32"/>
          <w:szCs w:val="32"/>
        </w:rPr>
      </w:pPr>
      <w:bookmarkStart w:id="0" w:name="_GoBack"/>
      <w:r>
        <w:rPr>
          <w:rFonts w:hint="eastAsia" w:ascii="黑体" w:eastAsia="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textAlignment w:val="auto"/>
        <w:rPr>
          <w:rFonts w:hint="eastAsia" w:ascii="仿宋_GB2312" w:eastAsia="仿宋_GB2312" w:cs="仿宋_GB2312"/>
          <w:sz w:val="30"/>
          <w:szCs w:val="30"/>
          <w:lang w:val="en-US" w:eastAsia="zh-CN"/>
        </w:rPr>
      </w:pPr>
      <w:r>
        <w:rPr>
          <w:rFonts w:hint="eastAsia" w:ascii="仿宋_GB2312" w:eastAsia="仿宋_GB2312" w:cs="仿宋_GB2312"/>
          <w:sz w:val="30"/>
          <w:szCs w:val="30"/>
          <w:lang w:val="en-US" w:eastAsia="zh-CN"/>
        </w:rPr>
        <w:t>对进一步提高政府信息公开工作水平的研究还不够；做好政府信息公开工作的主动性和力度、深度还不够；对政府信息公开工作的专业化、系统化保障还不够。针对这些问题，县商务局将积极采取措施加以改进：一是严格按照政务新媒体的相关要求，持续不间断开展好自检自查、信息更新和互动解答等工作；二是加强内部政府信息公开工作的督查考核；三是积极主动与县政府有关部门和上级局对接政府信息公开工作，尤其是要掌握上级最新的工作要求，确保第一时间规范调整到位，防止工作疏漏。同时，学习其他地区、其他部门政府信息公开工作的先进经验；四是进一步在主动公开领域下功夫，在确保“应公开必公开”的同时，进一步丰富内容和载体，优化信息服务，确保政府信息公开工作运营情况良好，群众满意。</w:t>
      </w:r>
    </w:p>
    <w:p>
      <w:pPr>
        <w:widowControl/>
        <w:numPr>
          <w:ilvl w:val="0"/>
          <w:numId w:val="2"/>
        </w:numPr>
        <w:ind w:left="0" w:firstLine="640" w:firstLineChars="200"/>
        <w:rPr>
          <w:rFonts w:hint="eastAsia" w:ascii="黑体" w:eastAsia="黑体"/>
          <w:sz w:val="32"/>
          <w:szCs w:val="32"/>
        </w:rPr>
      </w:pPr>
      <w:r>
        <w:rPr>
          <w:rFonts w:hint="eastAsia" w:ascii="黑体" w:eastAsia="黑体"/>
          <w:sz w:val="32"/>
          <w:szCs w:val="32"/>
        </w:rPr>
        <w:t>其他需要报告的事项</w:t>
      </w:r>
    </w:p>
    <w:p>
      <w:pPr>
        <w:widowControl/>
        <w:ind w:firstLine="640" w:firstLineChars="200"/>
        <w:rPr>
          <w:rFonts w:hint="eastAsia" w:ascii="仿宋" w:eastAsia="仿宋"/>
          <w:sz w:val="32"/>
          <w:szCs w:val="32"/>
          <w:lang w:val="en-US" w:eastAsia="zh-CN"/>
        </w:rPr>
      </w:pPr>
      <w:r>
        <w:rPr>
          <w:rFonts w:hint="eastAsia" w:ascii="仿宋" w:eastAsia="仿宋"/>
          <w:sz w:val="32"/>
          <w:szCs w:val="32"/>
          <w:lang w:val="en-US" w:eastAsia="zh-CN"/>
        </w:rPr>
        <w:t>无。</w:t>
      </w:r>
    </w:p>
    <w:p>
      <w:pPr>
        <w:widowControl/>
        <w:ind w:firstLine="640" w:firstLineChars="200"/>
        <w:rPr>
          <w:rFonts w:hint="eastAsia" w:ascii="仿宋" w:eastAsia="仿宋"/>
          <w:sz w:val="32"/>
          <w:szCs w:val="32"/>
          <w:lang w:val="en-US" w:eastAsia="zh-CN"/>
        </w:rPr>
      </w:pPr>
    </w:p>
    <w:p>
      <w:pPr>
        <w:widowControl/>
        <w:ind w:firstLine="640" w:firstLineChars="200"/>
        <w:rPr>
          <w:rFonts w:hint="eastAsia" w:ascii="仿宋" w:eastAsia="仿宋"/>
          <w:sz w:val="32"/>
          <w:szCs w:val="32"/>
          <w:lang w:val="en-US" w:eastAsia="zh-CN"/>
        </w:rPr>
      </w:pPr>
      <w:r>
        <w:rPr>
          <w:rFonts w:hint="eastAsia" w:ascii="仿宋" w:eastAsia="仿宋"/>
          <w:sz w:val="32"/>
          <w:szCs w:val="32"/>
          <w:lang w:val="en-US" w:eastAsia="zh-CN"/>
        </w:rPr>
        <w:t xml:space="preserve">                                 202</w:t>
      </w:r>
      <w:r>
        <w:rPr>
          <w:rFonts w:ascii="仿宋" w:eastAsia="仿宋"/>
          <w:sz w:val="32"/>
          <w:szCs w:val="32"/>
          <w:lang w:val="en-US" w:eastAsia="zh-CN"/>
        </w:rPr>
        <w:t>2</w:t>
      </w:r>
      <w:r>
        <w:rPr>
          <w:rFonts w:hint="eastAsia" w:ascii="仿宋" w:eastAsia="仿宋"/>
          <w:sz w:val="32"/>
          <w:szCs w:val="32"/>
          <w:lang w:val="en-US" w:eastAsia="zh-CN"/>
        </w:rPr>
        <w:t>年1月25日</w:t>
      </w:r>
    </w:p>
    <w:bookmarkEnd w:id="0"/>
    <w:p/>
    <w:p/>
    <w:p/>
    <w:p/>
    <w:p/>
    <w:p/>
    <w:p/>
    <w:p/>
    <w:p/>
    <w:p>
      <w:pPr>
        <w:rPr>
          <w:rFonts w:ascii="方正黑体_GBK" w:eastAsia="方正黑体_GBK"/>
        </w:rPr>
      </w:pPr>
    </w:p>
    <w:p>
      <w:pPr>
        <w:rPr>
          <w:rFonts w:ascii="方正黑体_GBK" w:eastAsia="方正黑体_GBK"/>
        </w:rPr>
      </w:pPr>
    </w:p>
    <w:p>
      <w:pPr>
        <w:rPr>
          <w:rFonts w:ascii="方正黑体_GBK" w:eastAsia="方正黑体_GBK"/>
        </w:rPr>
      </w:pPr>
    </w:p>
    <w:p>
      <w:pPr>
        <w:rPr>
          <w:rFonts w:ascii="方正黑体_GBK" w:eastAsia="方正黑体_GBK"/>
        </w:rPr>
      </w:pPr>
    </w:p>
    <w:p>
      <w:pPr>
        <w:rPr>
          <w:rFonts w:ascii="方正黑体_GBK" w:eastAsia="方正黑体_GBK"/>
          <w:sz w:val="32"/>
          <w:szCs w:val="32"/>
        </w:rPr>
      </w:pPr>
    </w:p>
    <w:p>
      <w:pPr>
        <w:rPr>
          <w:rFonts w:hint="eastAsia" w:ascii="方正黑体_GBK" w:eastAsia="方正黑体_GBK"/>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A716E"/>
    <w:multiLevelType w:val="singleLevel"/>
    <w:tmpl w:val="059A716E"/>
    <w:lvl w:ilvl="0" w:tentative="0">
      <w:start w:val="6"/>
      <w:numFmt w:val="chineseCounting"/>
      <w:suff w:val="nothing"/>
      <w:lvlText w:val="%1、"/>
      <w:lvlJc w:val="left"/>
      <w:pPr>
        <w:tabs>
          <w:tab w:val="left" w:pos="0"/>
        </w:tabs>
        <w:ind w:left="0" w:firstLine="0"/>
      </w:pPr>
      <w:rPr>
        <w:rFonts w:hint="eastAsia"/>
      </w:rPr>
    </w:lvl>
  </w:abstractNum>
  <w:abstractNum w:abstractNumId="1">
    <w:nsid w:val="7BD424AE"/>
    <w:multiLevelType w:val="singleLevel"/>
    <w:tmpl w:val="7BD424AE"/>
    <w:lvl w:ilvl="0" w:tentative="0">
      <w:start w:val="1"/>
      <w:numFmt w:val="chineseCounting"/>
      <w:suff w:val="nothing"/>
      <w:lvlText w:val="%1、"/>
      <w:lvlJc w:val="left"/>
      <w:pPr>
        <w:tabs>
          <w:tab w:val="left"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rsids>
    <w:rsidRoot w:val="00000000"/>
    <w:rsid w:val="48AB76F1"/>
    <w:rsid w:val="565526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uiPriority w:val="0"/>
    <w:rPr>
      <w:b/>
    </w:rPr>
  </w:style>
  <w:style w:type="character" w:styleId="6">
    <w:name w:val="FollowedHyperlink"/>
    <w:basedOn w:val="4"/>
    <w:qFormat/>
    <w:uiPriority w:val="0"/>
    <w:rPr>
      <w:color w:val="333333"/>
      <w:u w:val="non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0</Characters>
  <Lines>1</Lines>
  <Paragraphs>0</Paragraphs>
  <TotalTime>46</TotalTime>
  <ScaleCrop>false</ScaleCrop>
  <LinksUpToDate>false</LinksUpToDate>
  <CharactersWithSpaces>0</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2021-01-11T07:46:00Z</dcterms:created>
  <dc:creator>Administrator</dc:creator>
  <cp:lastModifiedBy>WPS_1520782893</cp:lastModifiedBy>
  <cp:lastPrinted>2021-03-05T08:28:00Z</cp:lastPrinted>
  <dcterms:modified xsi:type="dcterms:W3CDTF">2022-01-28T08:07:22Z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1344F26527CC4A3B991FBACDA153EE1D</vt:lpwstr>
  </property>
</Properties>
</file>