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6539B0">
      <w:pPr>
        <w:spacing w:line="560" w:lineRule="exact"/>
        <w:jc w:val="center"/>
        <w:rPr>
          <w:rFonts w:hint="default" w:ascii="Times New Roman" w:hAnsi="Times New Roman" w:eastAsia="仿宋_GB2312" w:cs="Times New Roman"/>
          <w:sz w:val="32"/>
          <w:szCs w:val="32"/>
        </w:rPr>
      </w:pPr>
    </w:p>
    <w:p w14:paraId="5462F538">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default" w:ascii="Times New Roman" w:hAnsi="Times New Roman" w:eastAsia="方正小标宋简体" w:cs="Times New Roman"/>
          <w:sz w:val="32"/>
          <w:szCs w:val="32"/>
        </w:rPr>
      </w:pPr>
      <w:r>
        <w:rPr>
          <w:rFonts w:hint="default" w:ascii="Times New Roman" w:hAnsi="Times New Roman" w:eastAsia="方正小标宋简体" w:cs="Times New Roman"/>
          <w:sz w:val="44"/>
          <w:szCs w:val="44"/>
        </w:rPr>
        <w:t>关于《</w:t>
      </w:r>
      <w:r>
        <w:rPr>
          <w:rFonts w:hint="default" w:ascii="Times New Roman" w:hAnsi="Times New Roman" w:eastAsia="方正小标宋简体" w:cs="Times New Roman"/>
          <w:sz w:val="44"/>
          <w:szCs w:val="44"/>
          <w:lang w:val="en-US" w:eastAsia="zh-CN"/>
        </w:rPr>
        <w:t>建湖县</w:t>
      </w:r>
      <w:r>
        <w:rPr>
          <w:rFonts w:hint="default" w:ascii="Times New Roman" w:hAnsi="Times New Roman" w:eastAsia="方正小标宋简体" w:cs="Times New Roman"/>
          <w:sz w:val="44"/>
          <w:szCs w:val="44"/>
        </w:rPr>
        <w:t>2021-01-11、2021-01-12、2022-01-01、2023-01-08号土地征收成片开发调整方案》起草情况说明</w:t>
      </w:r>
    </w:p>
    <w:p w14:paraId="73664ED7">
      <w:pPr>
        <w:pStyle w:val="4"/>
        <w:keepLines w:val="0"/>
        <w:pageBreakBefore w:val="0"/>
        <w:widowControl/>
        <w:kinsoku/>
        <w:wordWrap/>
        <w:overflowPunct/>
        <w:topLinePunct w:val="0"/>
        <w:autoSpaceDE/>
        <w:autoSpaceDN/>
        <w:bidi w:val="0"/>
        <w:adjustRightInd/>
        <w:snapToGrid/>
        <w:spacing w:before="150" w:beforeAutospacing="0" w:after="0" w:afterAutospacing="0" w:line="560" w:lineRule="exact"/>
        <w:ind w:firstLine="640" w:firstLineChars="200"/>
        <w:jc w:val="both"/>
        <w:textAlignment w:val="auto"/>
        <w:rPr>
          <w:rFonts w:hint="default" w:ascii="Times New Roman" w:hAnsi="Times New Roman" w:eastAsia="仿宋_GB2312" w:cs="Times New Roman"/>
          <w:sz w:val="32"/>
          <w:szCs w:val="32"/>
        </w:rPr>
      </w:pPr>
    </w:p>
    <w:p w14:paraId="36EB84B8">
      <w:pPr>
        <w:pStyle w:val="4"/>
        <w:keepNext w:val="0"/>
        <w:keepLines w:val="0"/>
        <w:pageBreakBefore w:val="0"/>
        <w:widowControl/>
        <w:kinsoku/>
        <w:wordWrap/>
        <w:overflowPunct w:val="0"/>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深入贯彻落实《中华人民共和国土地管理法》，统筹成片开发设计、产业导入、征地拆迁、基础设施和公共服务建设，根据《自然资源部关于印发&lt;土地征收成片开发标准&gt;的通知》（自然资规〔2023〕7号）、</w:t>
      </w:r>
      <w:r>
        <w:rPr>
          <w:rFonts w:hint="default" w:ascii="Times New Roman" w:hAnsi="Times New Roman" w:eastAsia="仿宋_GB2312" w:cs="Times New Roman"/>
          <w:sz w:val="32"/>
          <w:szCs w:val="32"/>
          <w:lang w:val="en-US" w:eastAsia="zh-CN"/>
        </w:rPr>
        <w:t>《江苏省自然资源厅关于深入推进土地征收成片开发方案编制工作的通知》（苏自然资函〔2024〕939号）</w:t>
      </w:r>
      <w:r>
        <w:rPr>
          <w:rFonts w:hint="default" w:ascii="Times New Roman" w:hAnsi="Times New Roman" w:eastAsia="仿宋_GB2312" w:cs="Times New Roman"/>
          <w:sz w:val="32"/>
          <w:szCs w:val="32"/>
        </w:rPr>
        <w:t>等文件精神，我县启动了《建湖县2021-01-11、2021-01-12、2022-01-01、2023-01-08号土地征收成片开发调整方案》编制工作，现将有关起草情况汇报如下：</w:t>
      </w:r>
    </w:p>
    <w:p w14:paraId="044F4F01">
      <w:pPr>
        <w:keepNext/>
        <w:keepLines w:val="0"/>
        <w:pageBreakBefore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一、起草背景</w:t>
      </w:r>
    </w:p>
    <w:p w14:paraId="719689C4">
      <w:pPr>
        <w:pStyle w:val="4"/>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新修正的《中华人民共和国土地管理法》按照党的十八届三中全会确定的缩小征地范围、规范征地程序、完善对被征地农民合法权益，规范多元保障机制的改革要求，首次通过列举方式对土地征收的公共利益进行界定，明确：军事和外交，能源、交通、水利等基础设施，科技、教育等社会公共事业，扶贫搬迁和保障性安居工程，确属必需的，可以征收农民集体所有土地。同时，土地征收成片开发应当坚持新发展理念，支持县级以上地方人民政府对一定范围的土地进行综合性开发建设，并统筹进行方案设计、产业导入、征地拆迁、基础设施和公共服务建设。</w:t>
      </w:r>
    </w:p>
    <w:p w14:paraId="37300B15">
      <w:pPr>
        <w:pStyle w:val="4"/>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为贯彻落实《中华人民共和国土地管理法》</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《自然资源部关于印发&lt;土地征收成片开发标准&gt;的通知》（自然资规〔2023〕7号）</w:t>
      </w:r>
      <w:r>
        <w:rPr>
          <w:rFonts w:hint="default" w:ascii="Times New Roman" w:hAnsi="Times New Roman" w:eastAsia="仿宋_GB2312" w:cs="Times New Roman"/>
          <w:sz w:val="32"/>
          <w:szCs w:val="32"/>
          <w:lang w:val="en-US" w:eastAsia="zh-CN"/>
        </w:rPr>
        <w:t>和《江苏省自然资源厅关于深入推进土地征收成片开发方案编制工作的通知》（苏自然资函〔2024〕939号）</w:t>
      </w:r>
      <w:r>
        <w:rPr>
          <w:rFonts w:hint="default" w:ascii="Times New Roman" w:hAnsi="Times New Roman" w:eastAsia="仿宋_GB2312" w:cs="Times New Roman"/>
          <w:sz w:val="32"/>
          <w:szCs w:val="32"/>
        </w:rPr>
        <w:t>相关要求，由县级以上地方人民政府组织的成片开发建设活动，确需征收农民集体所有土地的，应当编制土地征收成片开发方案</w:t>
      </w:r>
      <w:r>
        <w:rPr>
          <w:rFonts w:hint="default" w:ascii="Times New Roman" w:hAnsi="Times New Roman" w:eastAsia="仿宋_GB2312" w:cs="Times New Roman"/>
          <w:sz w:val="32"/>
          <w:szCs w:val="32"/>
          <w:lang w:eastAsia="zh-CN"/>
        </w:rPr>
        <w:t>；土地征收成片开发方案批准后，在开发实施期限内因规划调整或者不可抗力等因素需要调整的，可按规定调整方案，涉及片区范围变化的，调整方案编制报批要求不变。</w:t>
      </w:r>
    </w:p>
    <w:p w14:paraId="4925E73D">
      <w:pPr>
        <w:keepNext/>
        <w:keepLines w:val="0"/>
        <w:pageBreakBefore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二、起草过程</w:t>
      </w:r>
    </w:p>
    <w:p w14:paraId="4E24FB5B">
      <w:pPr>
        <w:pStyle w:val="4"/>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根据县政府土地征收计划</w:t>
      </w:r>
      <w:r>
        <w:rPr>
          <w:rFonts w:hint="default" w:ascii="Times New Roman" w:hAnsi="Times New Roman" w:eastAsia="仿宋_GB2312" w:cs="Times New Roman"/>
          <w:sz w:val="32"/>
          <w:szCs w:val="32"/>
          <w:lang w:val="en-US" w:eastAsia="zh-CN"/>
        </w:rPr>
        <w:t>和规划调整情况</w:t>
      </w:r>
      <w:r>
        <w:rPr>
          <w:rFonts w:hint="default" w:ascii="Times New Roman" w:hAnsi="Times New Roman" w:eastAsia="仿宋_GB2312" w:cs="Times New Roman"/>
          <w:sz w:val="32"/>
          <w:szCs w:val="32"/>
        </w:rPr>
        <w:t>，县自然资源和规划局于20</w:t>
      </w:r>
      <w:r>
        <w:rPr>
          <w:rFonts w:hint="default" w:ascii="Times New Roman" w:hAnsi="Times New Roman" w:eastAsia="仿宋_GB2312" w:cs="Times New Roman"/>
          <w:sz w:val="32"/>
          <w:szCs w:val="32"/>
          <w:lang w:val="en-US" w:eastAsia="zh-CN"/>
        </w:rPr>
        <w:t>26</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val="en-US" w:eastAsia="zh-CN"/>
        </w:rPr>
        <w:t>9</w:t>
      </w:r>
      <w:r>
        <w:rPr>
          <w:rFonts w:hint="default" w:ascii="Times New Roman" w:hAnsi="Times New Roman" w:eastAsia="仿宋_GB2312" w:cs="Times New Roman"/>
          <w:sz w:val="32"/>
          <w:szCs w:val="32"/>
        </w:rPr>
        <w:t>月启动成片开发</w:t>
      </w:r>
      <w:r>
        <w:rPr>
          <w:rFonts w:hint="default" w:ascii="Times New Roman" w:hAnsi="Times New Roman" w:eastAsia="仿宋_GB2312" w:cs="Times New Roman"/>
          <w:sz w:val="32"/>
          <w:szCs w:val="32"/>
          <w:lang w:val="en-US" w:eastAsia="zh-CN"/>
        </w:rPr>
        <w:t>调整</w:t>
      </w:r>
      <w:r>
        <w:rPr>
          <w:rFonts w:hint="default" w:ascii="Times New Roman" w:hAnsi="Times New Roman" w:eastAsia="仿宋_GB2312" w:cs="Times New Roman"/>
          <w:sz w:val="32"/>
          <w:szCs w:val="32"/>
        </w:rPr>
        <w:t>方案编制工作，在搜集资料、广泛调查、深入研究的基础上完成初稿，向集体经济组织、社会各界、人大代表、政协委员、社会公众和有关专家学者及有关单位征求意见后，上报盐城市人民政府</w:t>
      </w:r>
      <w:r>
        <w:rPr>
          <w:rFonts w:hint="default" w:ascii="Times New Roman" w:hAnsi="Times New Roman" w:eastAsia="仿宋_GB2312" w:cs="Times New Roman"/>
          <w:sz w:val="32"/>
          <w:szCs w:val="32"/>
          <w:lang w:val="en-US" w:eastAsia="zh-CN"/>
        </w:rPr>
        <w:t>和江苏省人民政府</w:t>
      </w:r>
      <w:r>
        <w:rPr>
          <w:rFonts w:hint="default" w:ascii="Times New Roman" w:hAnsi="Times New Roman" w:eastAsia="仿宋_GB2312" w:cs="Times New Roman"/>
          <w:sz w:val="32"/>
          <w:szCs w:val="32"/>
        </w:rPr>
        <w:t>审批。</w:t>
      </w:r>
    </w:p>
    <w:p w14:paraId="7BCBB6FC">
      <w:pPr>
        <w:keepNext/>
        <w:keepLines w:val="0"/>
        <w:pageBreakBefore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三、主要内容</w:t>
      </w:r>
    </w:p>
    <w:p w14:paraId="5137D516">
      <w:pPr>
        <w:pStyle w:val="4"/>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《建湖县2021-01-11、2021-01-12、2022-01-01、2023-01-08号土地征收成片开发调整方案》，包括</w:t>
      </w:r>
      <w:r>
        <w:rPr>
          <w:rFonts w:hint="default" w:ascii="Times New Roman" w:hAnsi="Times New Roman" w:eastAsia="仿宋_GB2312" w:cs="Times New Roman"/>
          <w:sz w:val="32"/>
          <w:szCs w:val="32"/>
          <w:lang w:val="en-US" w:eastAsia="zh-CN"/>
        </w:rPr>
        <w:t>4</w:t>
      </w:r>
      <w:r>
        <w:rPr>
          <w:rFonts w:hint="default" w:ascii="Times New Roman" w:hAnsi="Times New Roman" w:eastAsia="仿宋_GB2312" w:cs="Times New Roman"/>
          <w:sz w:val="32"/>
          <w:szCs w:val="32"/>
        </w:rPr>
        <w:t>个单片区</w:t>
      </w:r>
      <w:r>
        <w:rPr>
          <w:rFonts w:hint="default" w:ascii="Times New Roman" w:hAnsi="Times New Roman" w:eastAsia="仿宋_GB2312" w:cs="Times New Roman"/>
          <w:sz w:val="32"/>
          <w:szCs w:val="32"/>
          <w:lang w:val="en-US" w:eastAsia="zh-CN"/>
        </w:rPr>
        <w:t>调整</w:t>
      </w:r>
      <w:r>
        <w:rPr>
          <w:rFonts w:hint="default" w:ascii="Times New Roman" w:hAnsi="Times New Roman" w:eastAsia="仿宋_GB2312" w:cs="Times New Roman"/>
          <w:sz w:val="32"/>
          <w:szCs w:val="32"/>
        </w:rPr>
        <w:t>方案。</w:t>
      </w:r>
    </w:p>
    <w:p w14:paraId="65F68A6D">
      <w:pPr>
        <w:keepNext/>
        <w:keepLines w:val="0"/>
        <w:pageBreakBefore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楷体" w:cs="Times New Roman"/>
          <w:b w:val="0"/>
          <w:bCs w:val="0"/>
          <w:sz w:val="32"/>
          <w:szCs w:val="32"/>
        </w:rPr>
      </w:pPr>
      <w:r>
        <w:rPr>
          <w:rFonts w:hint="default" w:ascii="Times New Roman" w:hAnsi="Times New Roman" w:eastAsia="楷体" w:cs="Times New Roman"/>
          <w:b w:val="0"/>
          <w:bCs w:val="0"/>
          <w:sz w:val="32"/>
          <w:szCs w:val="32"/>
        </w:rPr>
        <w:t>（一）片区基本情况</w:t>
      </w:r>
    </w:p>
    <w:p w14:paraId="3E2964D8">
      <w:pPr>
        <w:pStyle w:val="4"/>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建湖县2021-01-11、2021-01-12、2022-01-01、2023-01-08号土地征收成片开发调整方案共</w:t>
      </w:r>
      <w:r>
        <w:rPr>
          <w:rFonts w:hint="default" w:ascii="Times New Roman" w:hAnsi="Times New Roman" w:eastAsia="仿宋_GB2312" w:cs="Times New Roman"/>
          <w:sz w:val="32"/>
          <w:szCs w:val="32"/>
          <w:lang w:val="en-US" w:eastAsia="zh-CN"/>
        </w:rPr>
        <w:t>涉及4个片区调整</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均位于上冈镇</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调整后</w:t>
      </w:r>
      <w:r>
        <w:rPr>
          <w:rFonts w:hint="default" w:ascii="Times New Roman" w:hAnsi="Times New Roman" w:eastAsia="仿宋_GB2312" w:cs="Times New Roman"/>
          <w:sz w:val="32"/>
          <w:szCs w:val="32"/>
        </w:rPr>
        <w:t>片区总规模为295.417</w:t>
      </w:r>
      <w:r>
        <w:rPr>
          <w:rFonts w:hint="default" w:ascii="Times New Roman" w:hAnsi="Times New Roman" w:eastAsia="仿宋_GB2312" w:cs="Times New Roman"/>
          <w:sz w:val="32"/>
          <w:szCs w:val="32"/>
          <w:lang w:val="en-US" w:eastAsia="zh-CN"/>
        </w:rPr>
        <w:t>0</w:t>
      </w:r>
      <w:r>
        <w:rPr>
          <w:rFonts w:hint="default" w:ascii="Times New Roman" w:hAnsi="Times New Roman" w:eastAsia="仿宋_GB2312" w:cs="Times New Roman"/>
          <w:sz w:val="32"/>
          <w:szCs w:val="32"/>
        </w:rPr>
        <w:t>公顷。</w:t>
      </w:r>
    </w:p>
    <w:p w14:paraId="550E85DD">
      <w:pPr>
        <w:keepNext/>
        <w:keepLines w:val="0"/>
        <w:pageBreakBefore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楷体" w:cs="Times New Roman"/>
          <w:b w:val="0"/>
          <w:bCs w:val="0"/>
          <w:sz w:val="32"/>
          <w:szCs w:val="32"/>
        </w:rPr>
      </w:pPr>
      <w:r>
        <w:rPr>
          <w:rFonts w:hint="default" w:ascii="Times New Roman" w:hAnsi="Times New Roman" w:eastAsia="楷体" w:cs="Times New Roman"/>
          <w:b w:val="0"/>
          <w:bCs w:val="0"/>
          <w:sz w:val="32"/>
          <w:szCs w:val="32"/>
        </w:rPr>
        <w:t>（二）实施计划</w:t>
      </w:r>
    </w:p>
    <w:p w14:paraId="29324F7F">
      <w:pPr>
        <w:pStyle w:val="4"/>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成片开发范围内拟建设项目以</w:t>
      </w:r>
      <w:r>
        <w:rPr>
          <w:rFonts w:hint="default" w:ascii="Times New Roman" w:hAnsi="Times New Roman" w:eastAsia="仿宋_GB2312" w:cs="Times New Roman"/>
          <w:sz w:val="32"/>
          <w:szCs w:val="32"/>
          <w:lang w:val="en-US" w:eastAsia="zh-CN"/>
        </w:rPr>
        <w:t>城镇住宅</w:t>
      </w:r>
      <w:r>
        <w:rPr>
          <w:rFonts w:hint="default" w:ascii="Times New Roman" w:hAnsi="Times New Roman" w:eastAsia="仿宋_GB2312" w:cs="Times New Roman"/>
          <w:sz w:val="32"/>
          <w:szCs w:val="32"/>
        </w:rPr>
        <w:t>为主，配套建设基础设施类项目，计划在202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年至20</w:t>
      </w:r>
      <w:r>
        <w:rPr>
          <w:rFonts w:hint="default" w:ascii="Times New Roman" w:hAnsi="Times New Roman" w:eastAsia="仿宋_GB2312" w:cs="Times New Roman"/>
          <w:sz w:val="32"/>
          <w:szCs w:val="32"/>
          <w:lang w:val="en-US" w:eastAsia="zh-CN"/>
        </w:rPr>
        <w:t>30</w:t>
      </w:r>
      <w:r>
        <w:rPr>
          <w:rFonts w:hint="default" w:ascii="Times New Roman" w:hAnsi="Times New Roman" w:eastAsia="仿宋_GB2312" w:cs="Times New Roman"/>
          <w:sz w:val="32"/>
          <w:szCs w:val="32"/>
        </w:rPr>
        <w:t>年分批次启动土地征收工作。</w:t>
      </w:r>
    </w:p>
    <w:p w14:paraId="0A20774F">
      <w:pPr>
        <w:keepNext/>
        <w:keepLines w:val="0"/>
        <w:pageBreakBefore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楷体" w:cs="Times New Roman"/>
          <w:b w:val="0"/>
          <w:bCs w:val="0"/>
          <w:sz w:val="32"/>
          <w:szCs w:val="32"/>
        </w:rPr>
      </w:pPr>
      <w:r>
        <w:rPr>
          <w:rFonts w:hint="default" w:ascii="Times New Roman" w:hAnsi="Times New Roman" w:eastAsia="楷体" w:cs="Times New Roman"/>
          <w:b w:val="0"/>
          <w:bCs w:val="0"/>
          <w:sz w:val="32"/>
          <w:szCs w:val="32"/>
        </w:rPr>
        <w:t>（三）用地规划情况</w:t>
      </w:r>
    </w:p>
    <w:p w14:paraId="1A8DBFB5">
      <w:pPr>
        <w:pStyle w:val="4"/>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1、国民经济和社会发展规划、年度计划</w:t>
      </w:r>
    </w:p>
    <w:p w14:paraId="4B004A76">
      <w:pPr>
        <w:pStyle w:val="4"/>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本方案符合建湖县现行国民经济和社会发展规划，拟定的年度实施计划和开发时序符合国民经济和社会发展年度计划。</w:t>
      </w:r>
    </w:p>
    <w:p w14:paraId="6535642F">
      <w:pPr>
        <w:pStyle w:val="4"/>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2、符合国土空间规划情况</w:t>
      </w:r>
    </w:p>
    <w:p w14:paraId="4C515EAD">
      <w:pPr>
        <w:pStyle w:val="4"/>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本方案均位于《建湖县国土空间总体规划（2021-2035年）》城镇建设用地范围，不涉及永久基本农田和生态保护红线。</w:t>
      </w:r>
    </w:p>
    <w:p w14:paraId="68A9F97F">
      <w:pPr>
        <w:pStyle w:val="4"/>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3、公益性用地比例</w:t>
      </w:r>
    </w:p>
    <w:p w14:paraId="5BD5777E">
      <w:pPr>
        <w:pStyle w:val="4"/>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以符合公共利益需要为前提，对成片开发范围内公益性用地进行了合理安排，公益性用地比例符合部省相关文件要求。</w:t>
      </w:r>
    </w:p>
    <w:p w14:paraId="27560E5E">
      <w:pPr>
        <w:keepNext/>
        <w:keepLines w:val="0"/>
        <w:pageBreakBefore w:val="0"/>
        <w:kinsoku/>
        <w:wordWrap/>
        <w:overflowPunct/>
        <w:topLinePunct w:val="0"/>
        <w:autoSpaceDE/>
        <w:autoSpaceDN/>
        <w:bidi w:val="0"/>
        <w:adjustRightInd/>
        <w:snapToGrid/>
        <w:spacing w:line="560" w:lineRule="exact"/>
        <w:ind w:firstLine="640" w:firstLineChars="200"/>
        <w:textAlignment w:val="auto"/>
        <w:outlineLvl w:val="1"/>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四、征地农民利益保障</w:t>
      </w:r>
    </w:p>
    <w:p w14:paraId="4CB9367C">
      <w:pPr>
        <w:pStyle w:val="4"/>
        <w:keepLines w:val="0"/>
        <w:pageBreakBefore w:val="0"/>
        <w:widowControl/>
        <w:kinsoku/>
        <w:wordWrap/>
        <w:overflowPunct/>
        <w:topLinePunct w:val="0"/>
        <w:autoSpaceDE/>
        <w:autoSpaceDN/>
        <w:bidi w:val="0"/>
        <w:adjustRightInd/>
        <w:snapToGrid/>
        <w:spacing w:before="0" w:beforeAutospacing="0" w:after="0" w:afterAutospacing="0"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根据《中华人民共和国土地管理法》《江苏省被征地农民社会保障办法》（苏政发〔2021〕87号）、《省政府关于重新公布江苏省征地区片综合地价最低标准的通知》（苏政发〔2023〕</w:t>
      </w:r>
      <w:bookmarkStart w:id="0" w:name="_GoBack"/>
      <w:bookmarkEnd w:id="0"/>
      <w:r>
        <w:rPr>
          <w:rFonts w:hint="default" w:ascii="Times New Roman" w:hAnsi="Times New Roman" w:eastAsia="仿宋_GB2312" w:cs="Times New Roman"/>
          <w:sz w:val="32"/>
          <w:szCs w:val="32"/>
        </w:rPr>
        <w:t>12号）等文件维护被征地农民和农村集体经济组织的合法权益，规范征地补偿程序。</w:t>
      </w:r>
    </w:p>
    <w:sectPr>
      <w:footerReference r:id="rId3" w:type="default"/>
      <w:pgSz w:w="11906" w:h="16838"/>
      <w:pgMar w:top="2098" w:right="1587" w:bottom="2098" w:left="1587" w:header="567" w:footer="1134"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CBE29FD-B85A-47AE-B332-7BE867CA5653}"/>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C5FC1B7C-E39E-43F5-8F8B-69EBE3030374}"/>
  </w:font>
  <w:font w:name="方正小标宋简体">
    <w:panose1 w:val="02000000000000000000"/>
    <w:charset w:val="86"/>
    <w:family w:val="auto"/>
    <w:pitch w:val="default"/>
    <w:sig w:usb0="00000001" w:usb1="08000000" w:usb2="00000000" w:usb3="00000000" w:csb0="00040000" w:csb1="00000000"/>
    <w:embedRegular r:id="rId3" w:fontKey="{93EB2650-687E-422B-A35D-57241D9152CB}"/>
  </w:font>
  <w:font w:name="楷体">
    <w:panose1 w:val="02010609060101010101"/>
    <w:charset w:val="86"/>
    <w:family w:val="auto"/>
    <w:pitch w:val="default"/>
    <w:sig w:usb0="800002BF" w:usb1="38CF7CFA" w:usb2="00000016" w:usb3="00000000" w:csb0="00040001" w:csb1="00000000"/>
    <w:embedRegular r:id="rId4" w:fontKey="{8E911946-F075-4D55-8DBE-2EAE45AD20E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7CD01">
    <w:pPr>
      <w:pStyle w:val="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852EA4">
                          <w:pPr>
                            <w:pStyle w:val="2"/>
                          </w:pPr>
                          <w:r>
                            <w:t xml:space="preserve">— </w:t>
                          </w:r>
                          <w:r>
                            <w:fldChar w:fldCharType="begin"/>
                          </w:r>
                          <w:r>
                            <w:instrText xml:space="preserve"> PAGE  \* MERGEFORMAT </w:instrText>
                          </w:r>
                          <w:r>
                            <w:fldChar w:fldCharType="separate"/>
                          </w:r>
                          <w:r>
                            <w:t>3</w:t>
                          </w:r>
                          <w:r>
                            <w:fldChar w:fldCharType="end"/>
                          </w:r>
                          <w: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5852EA4">
                    <w:pPr>
                      <w:pStyle w:val="2"/>
                    </w:pPr>
                    <w:r>
                      <w:t xml:space="preserve">— </w:t>
                    </w:r>
                    <w:r>
                      <w:fldChar w:fldCharType="begin"/>
                    </w:r>
                    <w:r>
                      <w:instrText xml:space="preserve"> PAGE  \* MERGEFORMAT </w:instrText>
                    </w:r>
                    <w:r>
                      <w:fldChar w:fldCharType="separate"/>
                    </w:r>
                    <w:r>
                      <w:t>3</w:t>
                    </w:r>
                    <w:r>
                      <w:fldChar w:fldCharType="end"/>
                    </w:r>
                    <w: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TY4MWYxOTk2ODJmY2Y1MzZlZGFmNWM5OWNhMmJkOTQifQ=="/>
  </w:docVars>
  <w:rsids>
    <w:rsidRoot w:val="0088234F"/>
    <w:rsid w:val="00006396"/>
    <w:rsid w:val="00026312"/>
    <w:rsid w:val="0003463C"/>
    <w:rsid w:val="000417D1"/>
    <w:rsid w:val="0006188A"/>
    <w:rsid w:val="00071516"/>
    <w:rsid w:val="0008562B"/>
    <w:rsid w:val="00127E01"/>
    <w:rsid w:val="0016068F"/>
    <w:rsid w:val="00165D23"/>
    <w:rsid w:val="00183F42"/>
    <w:rsid w:val="001A323C"/>
    <w:rsid w:val="001D3AE5"/>
    <w:rsid w:val="001F7FEC"/>
    <w:rsid w:val="00252E0A"/>
    <w:rsid w:val="0025547A"/>
    <w:rsid w:val="00284B69"/>
    <w:rsid w:val="002D263C"/>
    <w:rsid w:val="002D46AE"/>
    <w:rsid w:val="002D71B1"/>
    <w:rsid w:val="00336A03"/>
    <w:rsid w:val="0036352B"/>
    <w:rsid w:val="0039157E"/>
    <w:rsid w:val="003A20CA"/>
    <w:rsid w:val="003B774E"/>
    <w:rsid w:val="003D66FB"/>
    <w:rsid w:val="003F6544"/>
    <w:rsid w:val="00421A92"/>
    <w:rsid w:val="00425FBC"/>
    <w:rsid w:val="00434FD3"/>
    <w:rsid w:val="004369F9"/>
    <w:rsid w:val="004931B2"/>
    <w:rsid w:val="00495BCE"/>
    <w:rsid w:val="004D0BDB"/>
    <w:rsid w:val="00504730"/>
    <w:rsid w:val="0052491F"/>
    <w:rsid w:val="00532C46"/>
    <w:rsid w:val="00540089"/>
    <w:rsid w:val="0057309F"/>
    <w:rsid w:val="005E47E3"/>
    <w:rsid w:val="0061476A"/>
    <w:rsid w:val="00625A17"/>
    <w:rsid w:val="00637080"/>
    <w:rsid w:val="00652036"/>
    <w:rsid w:val="00675D21"/>
    <w:rsid w:val="006A297E"/>
    <w:rsid w:val="006A640B"/>
    <w:rsid w:val="006B132F"/>
    <w:rsid w:val="006B17D1"/>
    <w:rsid w:val="006D759A"/>
    <w:rsid w:val="006F2485"/>
    <w:rsid w:val="006F27C1"/>
    <w:rsid w:val="006F418B"/>
    <w:rsid w:val="0071559E"/>
    <w:rsid w:val="00773BB8"/>
    <w:rsid w:val="008004EF"/>
    <w:rsid w:val="0088234F"/>
    <w:rsid w:val="008A5D9D"/>
    <w:rsid w:val="008D05A5"/>
    <w:rsid w:val="008D5650"/>
    <w:rsid w:val="008F553D"/>
    <w:rsid w:val="00920EBC"/>
    <w:rsid w:val="00954386"/>
    <w:rsid w:val="00965A10"/>
    <w:rsid w:val="00994028"/>
    <w:rsid w:val="009B3EDA"/>
    <w:rsid w:val="009E6A31"/>
    <w:rsid w:val="00A07881"/>
    <w:rsid w:val="00A25D91"/>
    <w:rsid w:val="00A7365D"/>
    <w:rsid w:val="00A857BB"/>
    <w:rsid w:val="00A87DDB"/>
    <w:rsid w:val="00A91531"/>
    <w:rsid w:val="00A9516D"/>
    <w:rsid w:val="00AC09A6"/>
    <w:rsid w:val="00AC4212"/>
    <w:rsid w:val="00AC5E81"/>
    <w:rsid w:val="00AD26FB"/>
    <w:rsid w:val="00AD6AF3"/>
    <w:rsid w:val="00B06615"/>
    <w:rsid w:val="00B13ED2"/>
    <w:rsid w:val="00B6294E"/>
    <w:rsid w:val="00B708E9"/>
    <w:rsid w:val="00B84E1D"/>
    <w:rsid w:val="00CA0A15"/>
    <w:rsid w:val="00CA4B39"/>
    <w:rsid w:val="00CC5F34"/>
    <w:rsid w:val="00CF6A1E"/>
    <w:rsid w:val="00D6000E"/>
    <w:rsid w:val="00DA63FA"/>
    <w:rsid w:val="00DC2086"/>
    <w:rsid w:val="00E5330F"/>
    <w:rsid w:val="00E55247"/>
    <w:rsid w:val="00E80467"/>
    <w:rsid w:val="00E915B8"/>
    <w:rsid w:val="00EC1FD0"/>
    <w:rsid w:val="00EC3381"/>
    <w:rsid w:val="00ED1ABA"/>
    <w:rsid w:val="00EE453B"/>
    <w:rsid w:val="00F11C45"/>
    <w:rsid w:val="00F170E1"/>
    <w:rsid w:val="00F42D8D"/>
    <w:rsid w:val="00F80BE1"/>
    <w:rsid w:val="00FB0911"/>
    <w:rsid w:val="00FC7747"/>
    <w:rsid w:val="04CC0D36"/>
    <w:rsid w:val="0B555554"/>
    <w:rsid w:val="0DBE2B84"/>
    <w:rsid w:val="114F1D45"/>
    <w:rsid w:val="15204125"/>
    <w:rsid w:val="15D831F0"/>
    <w:rsid w:val="1C78070F"/>
    <w:rsid w:val="1FBE07C2"/>
    <w:rsid w:val="26216A5B"/>
    <w:rsid w:val="28AF15F0"/>
    <w:rsid w:val="2A5F4914"/>
    <w:rsid w:val="2B7B1C5D"/>
    <w:rsid w:val="337B57DC"/>
    <w:rsid w:val="35874426"/>
    <w:rsid w:val="373730E8"/>
    <w:rsid w:val="37AD13F0"/>
    <w:rsid w:val="395E2076"/>
    <w:rsid w:val="39CB4267"/>
    <w:rsid w:val="3B5D6A30"/>
    <w:rsid w:val="3BB865B6"/>
    <w:rsid w:val="3D2E4D81"/>
    <w:rsid w:val="448F2880"/>
    <w:rsid w:val="461A37A9"/>
    <w:rsid w:val="48F350D1"/>
    <w:rsid w:val="528D7EC1"/>
    <w:rsid w:val="53500B24"/>
    <w:rsid w:val="53E26335"/>
    <w:rsid w:val="553D7CAC"/>
    <w:rsid w:val="56C11D63"/>
    <w:rsid w:val="580C301B"/>
    <w:rsid w:val="58FC333E"/>
    <w:rsid w:val="5D7A0BA7"/>
    <w:rsid w:val="649D498B"/>
    <w:rsid w:val="658F2910"/>
    <w:rsid w:val="66931205"/>
    <w:rsid w:val="6AC50223"/>
    <w:rsid w:val="6CC533C9"/>
    <w:rsid w:val="6E7C509D"/>
    <w:rsid w:val="76D85609"/>
    <w:rsid w:val="787B6613"/>
    <w:rsid w:val="7E1320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qFormat/>
    <w:uiPriority w:val="0"/>
    <w:pPr>
      <w:spacing w:before="100" w:beforeAutospacing="1" w:after="100"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1348</Words>
  <Characters>1540</Characters>
  <Lines>9</Lines>
  <Paragraphs>2</Paragraphs>
  <TotalTime>77</TotalTime>
  <ScaleCrop>false</ScaleCrop>
  <LinksUpToDate>false</LinksUpToDate>
  <CharactersWithSpaces>1540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2022-11-10T02:12:00Z</dcterms:created>
  <dc:creator>hp</dc:creator>
  <cp:lastModifiedBy>Sunshine</cp:lastModifiedBy>
  <dcterms:modified xsi:type="dcterms:W3CDTF">2026-09-10T04:26:44Z</dcterms:modified>
  <cp:revision>84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ECD98DAAA7154E5784C8BE1E5D6B5B1C_13</vt:lpwstr>
  </property>
  <property fmtid="{D5CDD505-2E9C-101B-9397-08002B2CF9AE}" pid="4" name="KSOTemplateDocerSaveRecord">
    <vt:lpwstr>eyJoZGlkIjoiNDk1NzhhYTMzYTBlN2E5Njk1NjBiMGUzZDdmNmJkNmUiLCJ1c2VySWQiOiIxMTMzMTAxNTMxIn0=</vt:lpwstr>
  </property>
</Properties>
</file>