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AD35">
      <w:pPr>
        <w:spacing w:line="560" w:lineRule="exact"/>
        <w:jc w:val="center"/>
        <w:rPr>
          <w:rFonts w:ascii="Times New Roman" w:hAnsi="Times New Roman" w:eastAsia="方正小标宋_GBK" w:cs="Times New Roman"/>
          <w:sz w:val="42"/>
          <w:szCs w:val="42"/>
        </w:rPr>
      </w:pPr>
    </w:p>
    <w:p w14:paraId="3C2A6E4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关于《建湖县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2025-02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号土地征收成片开发</w:t>
      </w:r>
    </w:p>
    <w:p w14:paraId="3DCFEB6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方案》起草情况说明</w:t>
      </w:r>
    </w:p>
    <w:p w14:paraId="3B44260C">
      <w:pPr>
        <w:pStyle w:val="4"/>
        <w:widowControl/>
        <w:spacing w:before="150" w:beforeAutospacing="0" w:after="0" w:afterAutospacing="0" w:line="560" w:lineRule="exact"/>
        <w:ind w:firstLine="680" w:firstLineChars="200"/>
        <w:jc w:val="both"/>
        <w:rPr>
          <w:rFonts w:ascii="Times New Roman" w:hAnsi="Times New Roman" w:eastAsia="方正仿宋_GBK"/>
          <w:sz w:val="34"/>
          <w:szCs w:val="34"/>
        </w:rPr>
      </w:pPr>
    </w:p>
    <w:p w14:paraId="73924001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为深入贯彻落实《中华人民共和国土地管理法》，统筹成片开发设计、产业导入、征地拆迁、基础设施和公共服务建设，根据《自然资源部关于印发&lt;土地征收成片开发标准&gt;的通知》（自然资规〔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号）、《江苏省自然资源厅关于开展土地征收成片开发方案编制工作的通知》（苏自然资函〔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号）等文件精神，我县启动了《建湖县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2025-02</w:t>
      </w:r>
      <w:r>
        <w:rPr>
          <w:rFonts w:hint="eastAsia" w:ascii="仿宋_GB2312" w:hAnsi="仿宋_GB2312" w:eastAsia="仿宋_GB2312" w:cs="仿宋_GB2312"/>
          <w:sz w:val="32"/>
          <w:szCs w:val="32"/>
        </w:rPr>
        <w:t>号土地征收成片开发方案》编制工作，现将有关起草情况汇报如下：</w:t>
      </w:r>
    </w:p>
    <w:p w14:paraId="62A48665">
      <w:pPr>
        <w:keepNext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4A65C98A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修正的《中华人民共和国土地管理法》按照党的十八届三中全会确定的缩小征地范围、规范征地程序、完善对被征地农民合法权益，规范多元保障机制的改革要求，首次通过列举方式对土地征收的公共利益进行界定，明确：军事和外交，能源、交通、水利等基础设施，科技、教育等社会公共事业，扶贫搬迁和保障性安居工程，确属必需的，可以征收农民集体所有土地。同时，土地征收成片开发应当坚持新发展理念，支持县级以上地方人民政府对一定范围的土地进行综合性开发建设，并统筹进行方案设计、产业导入、征地拆迁、基础设施和公共服务建设。</w:t>
      </w:r>
    </w:p>
    <w:p w14:paraId="4592E8E8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为贯彻落实《中华人民共和国土地管理法》和《自然资源部关于印发&lt;土地征收成片开发标准&gt;的通知》（自然资规〔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号）相关要求，由县级以上地方人民政府组织的成片开发建设活动，确需征收农民集体所有土地的，应当编制土地征收成片开发方案，纳入当地国民经济和社会发展年度计划，并报省级人民政府批准。</w:t>
      </w:r>
    </w:p>
    <w:p w14:paraId="266560FE">
      <w:pPr>
        <w:keepNext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5843C5A4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根据县政府土地征收计划，县自然资源和规划局于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启动成片开发方案编制工作，在搜集资料、广泛调查、深入研究的基础上完成初稿，向集体经济组织、社会各界、人大代表、政协委员、社会公众和有关专家学者及有关单位征求意见后，上报盐城市人民政府审批。</w:t>
      </w:r>
    </w:p>
    <w:p w14:paraId="4613378C">
      <w:pPr>
        <w:keepNext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5D5B0FEE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《建湖县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2025-02</w:t>
      </w:r>
      <w:r>
        <w:rPr>
          <w:rFonts w:hint="eastAsia" w:ascii="仿宋_GB2312" w:hAnsi="仿宋_GB2312" w:eastAsia="仿宋_GB2312" w:cs="仿宋_GB2312"/>
          <w:sz w:val="32"/>
          <w:szCs w:val="32"/>
        </w:rPr>
        <w:t>号土地征收成片开发方案》，包括总体概述和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个单片区方案。</w:t>
      </w:r>
    </w:p>
    <w:p w14:paraId="000D099A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（一）片区基本情况</w:t>
      </w:r>
    </w:p>
    <w:p w14:paraId="150E5AB2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建湖县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2025-02</w:t>
      </w:r>
      <w:r>
        <w:rPr>
          <w:rFonts w:hint="eastAsia" w:ascii="仿宋_GB2312" w:hAnsi="仿宋_GB2312" w:eastAsia="仿宋_GB2312" w:cs="仿宋_GB2312"/>
          <w:sz w:val="32"/>
          <w:szCs w:val="32"/>
        </w:rPr>
        <w:t>号土地征收成片开发方案共划定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个片区，位于九龙口镇九龙口村一组、二组，片区总规模为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4.2906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 w14:paraId="7D3A7DF6">
      <w:pPr>
        <w:pStyle w:val="4"/>
        <w:keepNext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（二）实施计划</w:t>
      </w:r>
    </w:p>
    <w:p w14:paraId="656F0E7A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成片开发范围内拟建设项目以商业服务业项目为主，配套建设基础设施类项目，计划在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2029</w:t>
      </w:r>
      <w:r>
        <w:rPr>
          <w:rFonts w:hint="eastAsia" w:ascii="仿宋_GB2312" w:hAnsi="仿宋_GB2312" w:eastAsia="仿宋_GB2312" w:cs="仿宋_GB2312"/>
          <w:sz w:val="32"/>
          <w:szCs w:val="32"/>
        </w:rPr>
        <w:t>年分批次启动土地征收工作。</w:t>
      </w:r>
    </w:p>
    <w:p w14:paraId="24EE8B75">
      <w:pPr>
        <w:pStyle w:val="4"/>
        <w:keepNext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（三）用地规划情况</w:t>
      </w:r>
    </w:p>
    <w:p w14:paraId="4B323369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1、国民经济和社会发展规划、年度计划</w:t>
      </w:r>
    </w:p>
    <w:p w14:paraId="70FA9466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本方案符合建湖县现行国民经济和社会发展规划，拟定的年度实施计划和开发时序符合国民经济和社会发展年度计划。</w:t>
      </w:r>
    </w:p>
    <w:p w14:paraId="76E91FDD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2、符合国土空间规划情况</w:t>
      </w:r>
    </w:p>
    <w:p w14:paraId="41F1B62A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本方案均位于《建湖县国土空间总体规划（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2021-2035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年）》城镇建设用地范围，不涉及永久基本农田和生态保护红线。</w:t>
      </w:r>
    </w:p>
    <w:p w14:paraId="7CD6D0DA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3、公益性用地比例</w:t>
      </w:r>
    </w:p>
    <w:p w14:paraId="1277A2E4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以符合公共利益需要为前提，对成片开发范围内公益性用地进行了合理安排，公益性用地比例符合部省相关文件要求。</w:t>
      </w:r>
    </w:p>
    <w:p w14:paraId="1C415D1F">
      <w:pPr>
        <w:keepNext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四、征地农民利益保障</w:t>
      </w:r>
    </w:p>
    <w:p w14:paraId="2AB5B8C6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根据《中华人民共和国土地管理法》《江苏省被征地农民社会保障办法》（苏政发〔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021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号）、《省政府关于重新公布江苏省征地区片综合地价最低标准的通知》（苏政发〔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号）等文件维护被征地农民和农村集体经济组织的合法权益，规范征地补偿程序。</w:t>
      </w:r>
    </w:p>
    <w:p w14:paraId="72809772">
      <w:pPr>
        <w:pStyle w:val="4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567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3DE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502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1502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WYxOTk2ODJmY2Y1MzZlZGFmNWM5OWNhMmJkOTQifQ=="/>
  </w:docVars>
  <w:rsids>
    <w:rsidRoot w:val="0088234F"/>
    <w:rsid w:val="00006396"/>
    <w:rsid w:val="00026312"/>
    <w:rsid w:val="0003463C"/>
    <w:rsid w:val="000417D1"/>
    <w:rsid w:val="0006188A"/>
    <w:rsid w:val="00071516"/>
    <w:rsid w:val="000807AD"/>
    <w:rsid w:val="0008562B"/>
    <w:rsid w:val="00127E01"/>
    <w:rsid w:val="0016068F"/>
    <w:rsid w:val="00165D23"/>
    <w:rsid w:val="00183F42"/>
    <w:rsid w:val="001A323C"/>
    <w:rsid w:val="001D3AE5"/>
    <w:rsid w:val="001F373C"/>
    <w:rsid w:val="001F7FEC"/>
    <w:rsid w:val="0021413E"/>
    <w:rsid w:val="00252E0A"/>
    <w:rsid w:val="0025547A"/>
    <w:rsid w:val="00284B69"/>
    <w:rsid w:val="00290E8C"/>
    <w:rsid w:val="002D263C"/>
    <w:rsid w:val="002D46AE"/>
    <w:rsid w:val="002D71B1"/>
    <w:rsid w:val="00336A03"/>
    <w:rsid w:val="0036352B"/>
    <w:rsid w:val="0039157E"/>
    <w:rsid w:val="003A20CA"/>
    <w:rsid w:val="003B774E"/>
    <w:rsid w:val="003D66FB"/>
    <w:rsid w:val="003F6544"/>
    <w:rsid w:val="00421A92"/>
    <w:rsid w:val="00425FBC"/>
    <w:rsid w:val="00434FD3"/>
    <w:rsid w:val="004369F9"/>
    <w:rsid w:val="004931B2"/>
    <w:rsid w:val="00495BCE"/>
    <w:rsid w:val="004D0BDB"/>
    <w:rsid w:val="00504730"/>
    <w:rsid w:val="0052491F"/>
    <w:rsid w:val="00532C46"/>
    <w:rsid w:val="00540089"/>
    <w:rsid w:val="0057309F"/>
    <w:rsid w:val="005E47E3"/>
    <w:rsid w:val="0061476A"/>
    <w:rsid w:val="00625A17"/>
    <w:rsid w:val="00637080"/>
    <w:rsid w:val="00652036"/>
    <w:rsid w:val="00675D21"/>
    <w:rsid w:val="006A297E"/>
    <w:rsid w:val="006A640B"/>
    <w:rsid w:val="006B132F"/>
    <w:rsid w:val="006B17D1"/>
    <w:rsid w:val="006D759A"/>
    <w:rsid w:val="006F2485"/>
    <w:rsid w:val="006F27C1"/>
    <w:rsid w:val="006F418B"/>
    <w:rsid w:val="0071559E"/>
    <w:rsid w:val="00773BB8"/>
    <w:rsid w:val="008004EF"/>
    <w:rsid w:val="00843782"/>
    <w:rsid w:val="0088234F"/>
    <w:rsid w:val="008A5D9D"/>
    <w:rsid w:val="008D05A5"/>
    <w:rsid w:val="008D5650"/>
    <w:rsid w:val="008F553D"/>
    <w:rsid w:val="00920EBC"/>
    <w:rsid w:val="00954386"/>
    <w:rsid w:val="00965A10"/>
    <w:rsid w:val="00994028"/>
    <w:rsid w:val="009B3EDA"/>
    <w:rsid w:val="009E6A31"/>
    <w:rsid w:val="00A07881"/>
    <w:rsid w:val="00A25D91"/>
    <w:rsid w:val="00A7365D"/>
    <w:rsid w:val="00A857BB"/>
    <w:rsid w:val="00A87DDB"/>
    <w:rsid w:val="00A91531"/>
    <w:rsid w:val="00A9516D"/>
    <w:rsid w:val="00AC09A6"/>
    <w:rsid w:val="00AC4212"/>
    <w:rsid w:val="00AC5E81"/>
    <w:rsid w:val="00AD26FB"/>
    <w:rsid w:val="00AD6AF3"/>
    <w:rsid w:val="00B06615"/>
    <w:rsid w:val="00B13ED2"/>
    <w:rsid w:val="00B6294E"/>
    <w:rsid w:val="00B708E9"/>
    <w:rsid w:val="00B84E1D"/>
    <w:rsid w:val="00C142AD"/>
    <w:rsid w:val="00CA0A15"/>
    <w:rsid w:val="00CA4B39"/>
    <w:rsid w:val="00CC5F34"/>
    <w:rsid w:val="00CF6A1E"/>
    <w:rsid w:val="00D6000E"/>
    <w:rsid w:val="00DA63FA"/>
    <w:rsid w:val="00DC2086"/>
    <w:rsid w:val="00E5330F"/>
    <w:rsid w:val="00E55247"/>
    <w:rsid w:val="00E80467"/>
    <w:rsid w:val="00E915B8"/>
    <w:rsid w:val="00EC1FD0"/>
    <w:rsid w:val="00EC3381"/>
    <w:rsid w:val="00ED1ABA"/>
    <w:rsid w:val="00EE453B"/>
    <w:rsid w:val="00F11C45"/>
    <w:rsid w:val="00F170E1"/>
    <w:rsid w:val="00F42D8D"/>
    <w:rsid w:val="00F80BE1"/>
    <w:rsid w:val="00FB0911"/>
    <w:rsid w:val="00FC7747"/>
    <w:rsid w:val="04CC0D36"/>
    <w:rsid w:val="0B555554"/>
    <w:rsid w:val="15204125"/>
    <w:rsid w:val="160D590D"/>
    <w:rsid w:val="26216A5B"/>
    <w:rsid w:val="29FF445A"/>
    <w:rsid w:val="337B57DC"/>
    <w:rsid w:val="34C06933"/>
    <w:rsid w:val="35874426"/>
    <w:rsid w:val="373730E8"/>
    <w:rsid w:val="395E2076"/>
    <w:rsid w:val="3BB865B6"/>
    <w:rsid w:val="461A37A9"/>
    <w:rsid w:val="528D7EC1"/>
    <w:rsid w:val="553D7CAC"/>
    <w:rsid w:val="56C11D63"/>
    <w:rsid w:val="580C301B"/>
    <w:rsid w:val="58FC333E"/>
    <w:rsid w:val="59170968"/>
    <w:rsid w:val="5D7A0BA7"/>
    <w:rsid w:val="60193218"/>
    <w:rsid w:val="658F2910"/>
    <w:rsid w:val="66931205"/>
    <w:rsid w:val="6CC533C9"/>
    <w:rsid w:val="76D85609"/>
    <w:rsid w:val="7E1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1280</Characters>
  <Lines>9</Lines>
  <Paragraphs>2</Paragraphs>
  <TotalTime>230</TotalTime>
  <ScaleCrop>false</ScaleCrop>
  <LinksUpToDate>false</LinksUpToDate>
  <CharactersWithSpaces>1280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2022-11-10T02:12:00Z</dcterms:created>
  <dc:creator>hp</dc:creator>
  <cp:lastModifiedBy>GT</cp:lastModifiedBy>
  <dcterms:modified xsi:type="dcterms:W3CDTF">2025-01-20T03:24:05Z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E1621843FF95493987BB0B7222713405_13</vt:lpwstr>
  </property>
  <property fmtid="{D5CDD505-2E9C-101B-9397-08002B2CF9AE}" pid="4" name="KSOTemplateDocerSaveRecord">
    <vt:lpwstr>eyJoZGlkIjoiMjk1ZmFmNzFmNDhlNzRiNWU3ODQxMWNhZDE3Yzk1MDIifQ==</vt:lpwstr>
  </property>
</Properties>
</file>