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B5659">
      <w:pPr>
        <w:rPr>
          <w:rFonts w:hint="default" w:ascii="Times New Roman" w:hAnsi="Times New Roman" w:eastAsia="仿宋_GB2312" w:cs="Times New Roman"/>
        </w:rPr>
      </w:pPr>
    </w:p>
    <w:p w14:paraId="12CC8828">
      <w:pPr>
        <w:rPr>
          <w:rFonts w:hint="default" w:ascii="Times New Roman" w:hAnsi="Times New Roman" w:eastAsia="仿宋_GB2312" w:cs="Times New Roman"/>
        </w:rPr>
      </w:pPr>
    </w:p>
    <w:p w14:paraId="5309990D">
      <w:pPr>
        <w:rPr>
          <w:rFonts w:hint="default" w:ascii="Times New Roman" w:hAnsi="Times New Roman" w:eastAsia="仿宋_GB2312" w:cs="Times New Roman"/>
        </w:rPr>
      </w:pPr>
    </w:p>
    <w:p w14:paraId="44EA3287">
      <w:pPr>
        <w:rPr>
          <w:rFonts w:hint="default" w:ascii="Times New Roman" w:hAnsi="Times New Roman" w:eastAsia="仿宋_GB2312" w:cs="Times New Roman"/>
        </w:rPr>
      </w:pPr>
    </w:p>
    <w:p w14:paraId="1A0B4141">
      <w:pPr>
        <w:rPr>
          <w:rFonts w:hint="default" w:ascii="Times New Roman" w:hAnsi="Times New Roman" w:eastAsia="仿宋_GB2312" w:cs="Times New Roman"/>
        </w:rPr>
      </w:pPr>
    </w:p>
    <w:p w14:paraId="296BE186">
      <w:pPr>
        <w:keepNext w:val="0"/>
        <w:keepLines w:val="0"/>
        <w:pageBreakBefore w:val="0"/>
        <w:widowControl w:val="0"/>
        <w:tabs>
          <w:tab w:val="left" w:pos="1740"/>
        </w:tabs>
        <w:kinsoku/>
        <w:wordWrap/>
        <w:overflowPunct/>
        <w:topLinePunct w:val="0"/>
        <w:autoSpaceDE/>
        <w:autoSpaceDN/>
        <w:bidi w:val="0"/>
        <w:adjustRightInd/>
        <w:snapToGrid/>
        <w:spacing w:line="700" w:lineRule="exact"/>
        <w:jc w:val="center"/>
        <w:textAlignment w:val="auto"/>
        <w:rPr>
          <w:rFonts w:hint="default" w:ascii="Times New Roman" w:hAnsi="Times New Roman" w:eastAsia="黑体" w:cs="Times New Roman"/>
          <w:sz w:val="48"/>
          <w:szCs w:val="48"/>
        </w:rPr>
      </w:pPr>
      <w:r>
        <w:rPr>
          <w:rFonts w:hint="default" w:ascii="Times New Roman" w:hAnsi="Times New Roman" w:eastAsia="黑体" w:cs="Times New Roman"/>
          <w:sz w:val="48"/>
          <w:szCs w:val="48"/>
          <w:lang w:val="en-US" w:eastAsia="zh-CN"/>
        </w:rPr>
        <w:t>建湖县</w:t>
      </w:r>
      <w:r>
        <w:rPr>
          <w:rFonts w:hint="default" w:ascii="Times New Roman" w:hAnsi="Times New Roman" w:eastAsia="黑体" w:cs="Times New Roman"/>
          <w:sz w:val="48"/>
          <w:szCs w:val="48"/>
        </w:rPr>
        <w:t>2021-01-11、2021-01-12、2022-01-01、2023-01-08号土地征收成片开发调整方案</w:t>
      </w:r>
    </w:p>
    <w:p w14:paraId="1DA7BAA8">
      <w:pPr>
        <w:tabs>
          <w:tab w:val="left" w:pos="1740"/>
        </w:tabs>
        <w:jc w:val="both"/>
        <w:rPr>
          <w:rFonts w:hint="default" w:ascii="Times New Roman" w:hAnsi="Times New Roman" w:eastAsia="仿宋_GB2312" w:cs="Times New Roman"/>
          <w:bCs/>
          <w:sz w:val="36"/>
          <w:szCs w:val="36"/>
        </w:rPr>
      </w:pPr>
    </w:p>
    <w:p w14:paraId="6F006EC8">
      <w:pPr>
        <w:tabs>
          <w:tab w:val="left" w:pos="1740"/>
        </w:tabs>
        <w:jc w:val="center"/>
        <w:rPr>
          <w:rFonts w:hint="default" w:ascii="Times New Roman" w:hAnsi="Times New Roman" w:eastAsia="仿宋_GB2312" w:cs="Times New Roman"/>
          <w:bCs/>
          <w:sz w:val="36"/>
          <w:szCs w:val="36"/>
        </w:rPr>
      </w:pPr>
    </w:p>
    <w:p w14:paraId="4D3AEDFB">
      <w:pPr>
        <w:tabs>
          <w:tab w:val="left" w:pos="1740"/>
        </w:tabs>
        <w:jc w:val="center"/>
        <w:rPr>
          <w:rFonts w:hint="default" w:ascii="Times New Roman" w:hAnsi="Times New Roman" w:eastAsia="宋体" w:cs="Times New Roman"/>
          <w:bCs/>
          <w:sz w:val="36"/>
          <w:szCs w:val="36"/>
        </w:rPr>
      </w:pPr>
      <w:r>
        <w:rPr>
          <w:rFonts w:hint="default" w:ascii="Times New Roman" w:hAnsi="Times New Roman" w:eastAsia="宋体" w:cs="Times New Roman"/>
          <w:bCs/>
          <w:sz w:val="36"/>
          <w:szCs w:val="36"/>
        </w:rPr>
        <w:t>（征求意见稿）</w:t>
      </w:r>
    </w:p>
    <w:p w14:paraId="56749E32">
      <w:pPr>
        <w:pStyle w:val="2"/>
        <w:rPr>
          <w:rFonts w:hint="default" w:ascii="Times New Roman" w:hAnsi="Times New Roman" w:eastAsia="仿宋_GB2312" w:cs="Times New Roman"/>
        </w:rPr>
      </w:pPr>
    </w:p>
    <w:p w14:paraId="09244745">
      <w:pPr>
        <w:pStyle w:val="4"/>
        <w:spacing w:line="257" w:lineRule="auto"/>
        <w:rPr>
          <w:rFonts w:hint="default" w:ascii="Times New Roman" w:hAnsi="Times New Roman" w:eastAsia="仿宋_GB2312" w:cs="Times New Roman"/>
          <w:lang w:eastAsia="zh-CN"/>
        </w:rPr>
      </w:pPr>
    </w:p>
    <w:p w14:paraId="7F47EF93">
      <w:pPr>
        <w:pStyle w:val="4"/>
        <w:spacing w:line="257" w:lineRule="auto"/>
        <w:rPr>
          <w:rFonts w:hint="default" w:ascii="Times New Roman" w:hAnsi="Times New Roman" w:eastAsia="仿宋_GB2312" w:cs="Times New Roman"/>
          <w:lang w:eastAsia="zh-CN"/>
        </w:rPr>
      </w:pPr>
    </w:p>
    <w:p w14:paraId="39C82ECB">
      <w:pPr>
        <w:pStyle w:val="4"/>
        <w:spacing w:line="257" w:lineRule="auto"/>
        <w:rPr>
          <w:rFonts w:hint="default" w:ascii="Times New Roman" w:hAnsi="Times New Roman" w:eastAsia="仿宋_GB2312" w:cs="Times New Roman"/>
          <w:lang w:eastAsia="zh-CN"/>
        </w:rPr>
      </w:pPr>
    </w:p>
    <w:p w14:paraId="337CB3A2">
      <w:pPr>
        <w:pStyle w:val="4"/>
        <w:spacing w:line="257" w:lineRule="auto"/>
        <w:rPr>
          <w:rFonts w:hint="default" w:ascii="Times New Roman" w:hAnsi="Times New Roman" w:eastAsia="仿宋_GB2312" w:cs="Times New Roman"/>
          <w:lang w:eastAsia="zh-CN"/>
        </w:rPr>
      </w:pPr>
    </w:p>
    <w:p w14:paraId="11A58E13">
      <w:pPr>
        <w:pStyle w:val="4"/>
        <w:spacing w:line="257" w:lineRule="auto"/>
        <w:rPr>
          <w:rFonts w:hint="default" w:ascii="Times New Roman" w:hAnsi="Times New Roman" w:eastAsia="仿宋_GB2312" w:cs="Times New Roman"/>
          <w:lang w:eastAsia="zh-CN"/>
        </w:rPr>
      </w:pPr>
    </w:p>
    <w:p w14:paraId="51D221E6">
      <w:pPr>
        <w:pStyle w:val="4"/>
        <w:spacing w:line="257" w:lineRule="auto"/>
        <w:rPr>
          <w:rFonts w:hint="default" w:ascii="Times New Roman" w:hAnsi="Times New Roman" w:eastAsia="仿宋_GB2312" w:cs="Times New Roman"/>
          <w:lang w:eastAsia="zh-CN"/>
        </w:rPr>
      </w:pPr>
    </w:p>
    <w:p w14:paraId="52FEA32F">
      <w:pPr>
        <w:pStyle w:val="4"/>
        <w:spacing w:line="257" w:lineRule="auto"/>
        <w:rPr>
          <w:rFonts w:hint="default" w:ascii="Times New Roman" w:hAnsi="Times New Roman" w:eastAsia="仿宋_GB2312" w:cs="Times New Roman"/>
          <w:lang w:eastAsia="zh-CN"/>
        </w:rPr>
      </w:pPr>
    </w:p>
    <w:p w14:paraId="273261CA">
      <w:pPr>
        <w:pStyle w:val="4"/>
        <w:spacing w:line="257" w:lineRule="auto"/>
        <w:rPr>
          <w:rFonts w:hint="default" w:ascii="Times New Roman" w:hAnsi="Times New Roman" w:eastAsia="仿宋_GB2312" w:cs="Times New Roman"/>
          <w:lang w:eastAsia="zh-CN"/>
        </w:rPr>
      </w:pPr>
    </w:p>
    <w:p w14:paraId="5F5A8463">
      <w:pPr>
        <w:pStyle w:val="4"/>
        <w:spacing w:line="257" w:lineRule="auto"/>
        <w:rPr>
          <w:rFonts w:hint="default" w:ascii="Times New Roman" w:hAnsi="Times New Roman" w:eastAsia="仿宋_GB2312" w:cs="Times New Roman"/>
          <w:lang w:eastAsia="zh-CN"/>
        </w:rPr>
      </w:pPr>
    </w:p>
    <w:p w14:paraId="4D5CC7F3">
      <w:pPr>
        <w:pStyle w:val="4"/>
        <w:spacing w:line="257" w:lineRule="auto"/>
        <w:rPr>
          <w:rFonts w:hint="default" w:ascii="Times New Roman" w:hAnsi="Times New Roman" w:eastAsia="仿宋_GB2312" w:cs="Times New Roman"/>
          <w:lang w:eastAsia="zh-CN"/>
        </w:rPr>
      </w:pPr>
    </w:p>
    <w:p w14:paraId="2473D4EF">
      <w:pPr>
        <w:widowControl/>
        <w:jc w:val="left"/>
        <w:rPr>
          <w:rFonts w:hint="default" w:ascii="Times New Roman" w:hAnsi="Times New Roman" w:eastAsia="仿宋_GB2312" w:cs="Times New Roman"/>
          <w:sz w:val="52"/>
          <w:szCs w:val="52"/>
        </w:rPr>
      </w:pPr>
    </w:p>
    <w:p w14:paraId="28C32F74">
      <w:pPr>
        <w:pStyle w:val="2"/>
        <w:rPr>
          <w:rFonts w:hint="default" w:ascii="Times New Roman" w:hAnsi="Times New Roman" w:eastAsia="仿宋_GB2312" w:cs="Times New Roman"/>
        </w:rPr>
      </w:pPr>
    </w:p>
    <w:p w14:paraId="339DBEDA">
      <w:pPr>
        <w:widowControl/>
        <w:jc w:val="left"/>
        <w:rPr>
          <w:rFonts w:hint="default" w:ascii="Times New Roman" w:hAnsi="Times New Roman" w:eastAsia="仿宋_GB2312" w:cs="Times New Roman"/>
          <w:sz w:val="52"/>
          <w:szCs w:val="52"/>
        </w:rPr>
      </w:pPr>
    </w:p>
    <w:p w14:paraId="5781CF17">
      <w:pPr>
        <w:widowControl/>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建湖县人民政府</w:t>
      </w:r>
    </w:p>
    <w:p w14:paraId="2CBF88A6">
      <w:pPr>
        <w:widowControl/>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lang w:eastAsia="zh-CN"/>
        </w:rPr>
        <w:t>202</w:t>
      </w:r>
      <w:r>
        <w:rPr>
          <w:rFonts w:hint="default" w:ascii="Times New Roman" w:hAnsi="Times New Roman" w:eastAsia="宋体" w:cs="Times New Roman"/>
          <w:sz w:val="32"/>
          <w:szCs w:val="32"/>
          <w:lang w:val="en-US" w:eastAsia="zh-CN"/>
        </w:rPr>
        <w:t>6</w:t>
      </w:r>
      <w:r>
        <w:rPr>
          <w:rFonts w:hint="default" w:ascii="Times New Roman" w:hAnsi="Times New Roman" w:eastAsia="宋体" w:cs="Times New Roman"/>
          <w:sz w:val="32"/>
          <w:szCs w:val="32"/>
        </w:rPr>
        <w:t>年</w:t>
      </w:r>
      <w:r>
        <w:rPr>
          <w:rFonts w:hint="default" w:ascii="Times New Roman" w:hAnsi="Times New Roman" w:eastAsia="宋体" w:cs="Times New Roman"/>
          <w:sz w:val="32"/>
          <w:szCs w:val="32"/>
          <w:lang w:val="en-US" w:eastAsia="zh-CN"/>
        </w:rPr>
        <w:t>9</w:t>
      </w:r>
      <w:r>
        <w:rPr>
          <w:rFonts w:hint="default" w:ascii="Times New Roman" w:hAnsi="Times New Roman" w:eastAsia="宋体" w:cs="Times New Roman"/>
          <w:sz w:val="32"/>
          <w:szCs w:val="32"/>
        </w:rPr>
        <w:t>月</w:t>
      </w:r>
    </w:p>
    <w:p w14:paraId="1C5740A7">
      <w:pPr>
        <w:widowControl/>
        <w:spacing w:line="500" w:lineRule="exact"/>
        <w:jc w:val="left"/>
        <w:rPr>
          <w:rFonts w:hint="default" w:ascii="Times New Roman" w:hAnsi="Times New Roman" w:eastAsia="仿宋_GB2312" w:cs="Times New Roman"/>
          <w:b/>
          <w:color w:val="000000"/>
          <w:sz w:val="32"/>
          <w:szCs w:val="32"/>
        </w:rPr>
        <w:sectPr>
          <w:pgSz w:w="11906" w:h="16838"/>
          <w:pgMar w:top="2268" w:right="1417" w:bottom="1134" w:left="1417" w:header="851" w:footer="992" w:gutter="0"/>
          <w:pgNumType w:fmt="numberInDash"/>
          <w:cols w:space="425" w:num="1"/>
          <w:docGrid w:type="lines" w:linePitch="312" w:charSpace="0"/>
        </w:sectPr>
      </w:pPr>
    </w:p>
    <w:p w14:paraId="1B30A9CF">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hint="default" w:ascii="Times New Roman" w:hAnsi="Times New Roman" w:eastAsia="黑体" w:cs="Times New Roman"/>
          <w:b/>
          <w:sz w:val="32"/>
          <w:szCs w:val="32"/>
        </w:rPr>
      </w:pPr>
      <w:r>
        <w:rPr>
          <w:rFonts w:hint="default" w:ascii="Times New Roman" w:hAnsi="Times New Roman" w:eastAsia="黑体" w:cs="Times New Roman"/>
          <w:b/>
          <w:color w:val="000000"/>
          <w:sz w:val="32"/>
          <w:szCs w:val="32"/>
        </w:rPr>
        <w:t>一、工作背景</w:t>
      </w:r>
    </w:p>
    <w:p w14:paraId="300B6D3F">
      <w:pPr>
        <w:keepNext w:val="0"/>
        <w:keepLines w:val="0"/>
        <w:pageBreakBefore w:val="0"/>
        <w:widowControl w:val="0"/>
        <w:kinsoku/>
        <w:wordWrap/>
        <w:overflowPunct/>
        <w:topLinePunct w:val="0"/>
        <w:autoSpaceDE/>
        <w:autoSpaceDN/>
        <w:bidi w:val="0"/>
        <w:adjustRightInd/>
        <w:snapToGrid/>
        <w:spacing w:line="580" w:lineRule="exact"/>
        <w:ind w:firstLine="600" w:firstLineChars="200"/>
        <w:jc w:val="both"/>
        <w:textAlignment w:val="auto"/>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为严格落实《中华人民共和国土地管理法》及省市自然资源部门关于土地征收成片开发的相关政策要求，规范县域土地征收、开发建设管理工作，建湖县先后在2021年9月、2022年7月、2023年7月获批多批次土地征收成片开发方案。系列方案的落地实施，有效破解了重点项目征地用地难题，为全县城镇更新、产业园区建设、民生基础设施配套等重点工作推进提供了合法合规的用地保障，持续推动县域城镇化与工业化高质量发展。</w:t>
      </w:r>
    </w:p>
    <w:p w14:paraId="29431CBA">
      <w:pPr>
        <w:keepNext w:val="0"/>
        <w:keepLines w:val="0"/>
        <w:pageBreakBefore w:val="0"/>
        <w:widowControl w:val="0"/>
        <w:kinsoku/>
        <w:wordWrap/>
        <w:overflowPunct/>
        <w:topLinePunct w:val="0"/>
        <w:autoSpaceDE/>
        <w:autoSpaceDN/>
        <w:bidi w:val="0"/>
        <w:adjustRightInd/>
        <w:snapToGrid/>
        <w:spacing w:line="580" w:lineRule="exact"/>
        <w:ind w:firstLine="600" w:firstLineChars="200"/>
        <w:jc w:val="both"/>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lang w:val="en-US" w:eastAsia="zh-CN"/>
        </w:rPr>
        <w:t>随着建湖县国土空间总体规划落地生效及局部动态优化、城乡发展布局持续优化，以及历年国民经济和社会发展规划动态调整，县域产业项目布局、城乡建设时序、用地需求结构发生了阶段性变化。原批复的多批次成片开发方案中，部分地块的规划用途、开发时序与当前实际建设需求不相适配，部分规划地块因项目迭代、区位条件变更等因素，无法按原方案有序落地实施，原有开发方案的适用性和落地性逐步降低。</w:t>
      </w:r>
    </w:p>
    <w:p w14:paraId="1BF5A8FC">
      <w:pPr>
        <w:keepNext w:val="0"/>
        <w:keepLines w:val="0"/>
        <w:pageBreakBefore w:val="0"/>
        <w:widowControl w:val="0"/>
        <w:kinsoku/>
        <w:wordWrap/>
        <w:overflowPunct/>
        <w:topLinePunct w:val="0"/>
        <w:autoSpaceDE/>
        <w:autoSpaceDN/>
        <w:bidi w:val="0"/>
        <w:adjustRightInd/>
        <w:snapToGrid/>
        <w:spacing w:line="580" w:lineRule="exact"/>
        <w:ind w:firstLine="600" w:firstLineChars="200"/>
        <w:jc w:val="both"/>
        <w:textAlignment w:val="auto"/>
        <w:rPr>
          <w:rFonts w:hint="default" w:ascii="Times New Roman" w:hAnsi="Times New Roman" w:eastAsia="仿宋_GB2312" w:cs="Times New Roman"/>
          <w:color w:val="000000"/>
          <w:sz w:val="30"/>
          <w:szCs w:val="30"/>
          <w:lang w:val="en-US" w:eastAsia="zh-CN"/>
        </w:rPr>
      </w:pPr>
      <w:r>
        <w:rPr>
          <w:rFonts w:hint="default" w:ascii="Times New Roman" w:hAnsi="Times New Roman" w:eastAsia="仿宋_GB2312" w:cs="Times New Roman"/>
          <w:color w:val="000000"/>
          <w:sz w:val="30"/>
          <w:szCs w:val="30"/>
          <w:lang w:val="en-US" w:eastAsia="zh-CN"/>
        </w:rPr>
        <w:t>根据《江苏省自然资源厅关于深入推进土地征收成片开发方案编制工作的通知》（苏自然资函〔2024〕939号）文件要求，土地征收成片开发方案批准后，在开发实施期限内因规划调整或者不可抗力等因素需要调整的，可按规定调整方案，涉及片区范围变化的，调整方案编制报批要求不变。调整后公益性用地比例应当符合规定要求，已实施征收的地块不得调出。为统筹兼顾规划严肃性与发展实操性，严格坚守耕地保护、节约集约用地底线，保障公益性用地比例达标，切实保障被征地群众合法权益，我县启动2021-01-11、2021-01-12、2022-01-01、2023-01-08号4个片区土地征收成片开发方案调整工作。本次调整立足县域发展实际，统筹优化开发片区范围、用地布局和实施时序，修正原有方案与现状不符的内容，有效盘活存量用地资源，适配最新国土空间管控要求，为县域重点产业项目、民生工程落地建设提供坚实的用地规划支撑。</w:t>
      </w:r>
    </w:p>
    <w:p w14:paraId="390BC4CB">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hint="default" w:ascii="Times New Roman" w:hAnsi="Times New Roman" w:eastAsia="黑体" w:cs="Times New Roman"/>
          <w:b/>
          <w:color w:val="000000"/>
          <w:sz w:val="32"/>
          <w:szCs w:val="32"/>
        </w:rPr>
      </w:pPr>
      <w:r>
        <w:rPr>
          <w:rFonts w:hint="default" w:ascii="Times New Roman" w:hAnsi="Times New Roman" w:eastAsia="黑体" w:cs="Times New Roman"/>
          <w:b/>
          <w:color w:val="000000"/>
          <w:sz w:val="32"/>
          <w:szCs w:val="32"/>
        </w:rPr>
        <w:t>二、土地利用及符合规划情况</w:t>
      </w:r>
    </w:p>
    <w:p w14:paraId="39D5C42F">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（一）土地开发利用状况</w:t>
      </w:r>
    </w:p>
    <w:p w14:paraId="209D7B1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w:t>
      </w:r>
      <w:r>
        <w:rPr>
          <w:rFonts w:hint="default" w:ascii="Times New Roman" w:hAnsi="Times New Roman" w:eastAsia="仿宋_GB2312" w:cs="Times New Roman"/>
          <w:color w:val="000000"/>
          <w:sz w:val="30"/>
          <w:szCs w:val="30"/>
          <w:lang w:val="en-US" w:eastAsia="zh-CN"/>
        </w:rPr>
        <w:t>次调整</w:t>
      </w:r>
      <w:r>
        <w:rPr>
          <w:rFonts w:hint="default" w:ascii="Times New Roman" w:hAnsi="Times New Roman" w:eastAsia="仿宋_GB2312" w:cs="Times New Roman"/>
          <w:color w:val="000000"/>
          <w:sz w:val="30"/>
          <w:szCs w:val="30"/>
        </w:rPr>
        <w:t>方案</w:t>
      </w:r>
      <w:r>
        <w:rPr>
          <w:rFonts w:hint="default" w:ascii="Times New Roman" w:hAnsi="Times New Roman" w:eastAsia="仿宋_GB2312" w:cs="Times New Roman"/>
          <w:color w:val="000000"/>
          <w:sz w:val="30"/>
          <w:szCs w:val="30"/>
          <w:lang w:val="en-US" w:eastAsia="zh-CN"/>
        </w:rPr>
        <w:t>共</w:t>
      </w:r>
      <w:r>
        <w:rPr>
          <w:rFonts w:hint="default" w:ascii="Times New Roman" w:hAnsi="Times New Roman" w:eastAsia="仿宋_GB2312" w:cs="Times New Roman"/>
          <w:color w:val="000000"/>
          <w:sz w:val="30"/>
          <w:szCs w:val="30"/>
        </w:rPr>
        <w:t>包含</w:t>
      </w:r>
      <w:r>
        <w:rPr>
          <w:rFonts w:hint="default" w:ascii="Times New Roman" w:hAnsi="Times New Roman" w:eastAsia="仿宋_GB2312" w:cs="Times New Roman"/>
          <w:color w:val="000000"/>
          <w:sz w:val="30"/>
          <w:szCs w:val="30"/>
          <w:lang w:val="en-US" w:eastAsia="zh-CN"/>
        </w:rPr>
        <w:t>4</w:t>
      </w:r>
      <w:r>
        <w:rPr>
          <w:rFonts w:hint="default" w:ascii="Times New Roman" w:hAnsi="Times New Roman" w:eastAsia="仿宋_GB2312" w:cs="Times New Roman"/>
          <w:color w:val="000000"/>
          <w:sz w:val="30"/>
          <w:szCs w:val="30"/>
        </w:rPr>
        <w:t>个土地征收成片开发片区，片区总面积</w:t>
      </w:r>
      <w:r>
        <w:rPr>
          <w:rFonts w:hint="default" w:ascii="Times New Roman" w:hAnsi="Times New Roman" w:eastAsia="仿宋_GB2312" w:cs="Times New Roman"/>
          <w:color w:val="000000"/>
          <w:sz w:val="30"/>
          <w:szCs w:val="30"/>
          <w:lang w:val="en-US" w:eastAsia="zh-CN"/>
        </w:rPr>
        <w:t>295.417</w:t>
      </w:r>
      <w:r>
        <w:rPr>
          <w:rFonts w:hint="default" w:ascii="Times New Roman" w:hAnsi="Times New Roman" w:eastAsia="仿宋_GB2312" w:cs="Times New Roman"/>
          <w:color w:val="000000"/>
          <w:sz w:val="30"/>
          <w:szCs w:val="30"/>
        </w:rPr>
        <w:t>公顷，各片区土地利用开发状况如下：</w:t>
      </w:r>
    </w:p>
    <w:p w14:paraId="13AF90B6">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上冈新城公园北侧片区（CP320925-2021-01-11）位于</w:t>
      </w:r>
      <w:r>
        <w:rPr>
          <w:rFonts w:hint="default" w:ascii="Times New Roman" w:hAnsi="Times New Roman" w:eastAsia="仿宋_GB2312" w:cs="Times New Roman"/>
          <w:color w:val="000000"/>
          <w:sz w:val="30"/>
          <w:szCs w:val="30"/>
          <w:lang w:val="en-US" w:eastAsia="zh-CN"/>
        </w:rPr>
        <w:t>上冈镇南沙居委会、榆西村</w:t>
      </w:r>
      <w:r>
        <w:rPr>
          <w:rFonts w:hint="default" w:ascii="Times New Roman" w:hAnsi="Times New Roman" w:eastAsia="仿宋_GB2312" w:cs="Times New Roman"/>
          <w:color w:val="000000"/>
          <w:sz w:val="30"/>
          <w:szCs w:val="30"/>
        </w:rPr>
        <w:t>，</w:t>
      </w:r>
      <w:r>
        <w:rPr>
          <w:rFonts w:hint="default" w:ascii="Times New Roman" w:hAnsi="Times New Roman" w:eastAsia="仿宋_GB2312" w:cs="Times New Roman"/>
          <w:color w:val="000000"/>
          <w:sz w:val="30"/>
          <w:szCs w:val="30"/>
          <w:lang w:val="en-US" w:eastAsia="zh-CN"/>
        </w:rPr>
        <w:t>调整前</w:t>
      </w:r>
      <w:r>
        <w:rPr>
          <w:rFonts w:hint="default" w:ascii="Times New Roman" w:hAnsi="Times New Roman" w:eastAsia="仿宋_GB2312" w:cs="Times New Roman"/>
          <w:color w:val="000000"/>
          <w:sz w:val="30"/>
          <w:szCs w:val="30"/>
        </w:rPr>
        <w:t>片区总面积为74.2239公顷</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lang w:val="en-US" w:eastAsia="zh-CN"/>
        </w:rPr>
        <w:t>调整后</w:t>
      </w:r>
      <w:r>
        <w:rPr>
          <w:rFonts w:hint="default" w:ascii="Times New Roman" w:hAnsi="Times New Roman" w:eastAsia="仿宋_GB2312" w:cs="Times New Roman"/>
          <w:color w:val="000000"/>
          <w:sz w:val="30"/>
          <w:szCs w:val="30"/>
        </w:rPr>
        <w:t>片区总面积为70.457公顷，东至利华新村，南至金莱客门窗厂，西至204国道，北至南沙路。</w:t>
      </w:r>
    </w:p>
    <w:p w14:paraId="3FE9D94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上冈新城公园南侧片区（CP320925-2021-01-12）位于</w:t>
      </w:r>
      <w:r>
        <w:rPr>
          <w:rFonts w:hint="default" w:ascii="Times New Roman" w:hAnsi="Times New Roman" w:eastAsia="仿宋_GB2312" w:cs="Times New Roman"/>
          <w:color w:val="000000"/>
          <w:sz w:val="30"/>
          <w:szCs w:val="30"/>
          <w:lang w:val="en-US" w:eastAsia="zh-CN"/>
        </w:rPr>
        <w:t>上冈镇榆西村、大团村</w:t>
      </w:r>
      <w:r>
        <w:rPr>
          <w:rFonts w:hint="default" w:ascii="Times New Roman" w:hAnsi="Times New Roman" w:eastAsia="仿宋_GB2312" w:cs="Times New Roman"/>
          <w:color w:val="000000"/>
          <w:sz w:val="30"/>
          <w:szCs w:val="30"/>
        </w:rPr>
        <w:t>，</w:t>
      </w:r>
      <w:r>
        <w:rPr>
          <w:rFonts w:hint="default" w:ascii="Times New Roman" w:hAnsi="Times New Roman" w:eastAsia="仿宋_GB2312" w:cs="Times New Roman"/>
          <w:color w:val="000000"/>
          <w:sz w:val="30"/>
          <w:szCs w:val="30"/>
          <w:lang w:val="en-US" w:eastAsia="zh-CN"/>
        </w:rPr>
        <w:t>调整前</w:t>
      </w:r>
      <w:r>
        <w:rPr>
          <w:rFonts w:hint="default" w:ascii="Times New Roman" w:hAnsi="Times New Roman" w:eastAsia="仿宋_GB2312" w:cs="Times New Roman"/>
          <w:color w:val="000000"/>
          <w:sz w:val="30"/>
          <w:szCs w:val="30"/>
        </w:rPr>
        <w:t>片区总面积为74.4765公顷</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lang w:val="en-US" w:eastAsia="zh-CN"/>
        </w:rPr>
        <w:t>调整后</w:t>
      </w:r>
      <w:r>
        <w:rPr>
          <w:rFonts w:hint="default" w:ascii="Times New Roman" w:hAnsi="Times New Roman" w:eastAsia="仿宋_GB2312" w:cs="Times New Roman"/>
          <w:color w:val="000000"/>
          <w:sz w:val="30"/>
          <w:szCs w:val="30"/>
        </w:rPr>
        <w:t>片区总面积为64.8087公顷，东至马家洼，南至大团村，西至204国道，北至上冈镇榆西小学。</w:t>
      </w:r>
    </w:p>
    <w:p w14:paraId="5640321D">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上冈新城北部片区（CP320925-2022-01-01）位于</w:t>
      </w:r>
      <w:r>
        <w:rPr>
          <w:rFonts w:hint="default" w:ascii="Times New Roman" w:hAnsi="Times New Roman" w:eastAsia="仿宋_GB2312" w:cs="Times New Roman"/>
          <w:color w:val="000000"/>
          <w:sz w:val="30"/>
          <w:szCs w:val="30"/>
          <w:lang w:val="en-US" w:eastAsia="zh-CN"/>
        </w:rPr>
        <w:t>上冈镇南沙居委会、榆西村</w:t>
      </w:r>
      <w:r>
        <w:rPr>
          <w:rFonts w:hint="default" w:ascii="Times New Roman" w:hAnsi="Times New Roman" w:eastAsia="仿宋_GB2312" w:cs="Times New Roman"/>
          <w:color w:val="000000"/>
          <w:sz w:val="30"/>
          <w:szCs w:val="30"/>
        </w:rPr>
        <w:t>，</w:t>
      </w:r>
      <w:r>
        <w:rPr>
          <w:rFonts w:hint="default" w:ascii="Times New Roman" w:hAnsi="Times New Roman" w:eastAsia="仿宋_GB2312" w:cs="Times New Roman"/>
          <w:color w:val="000000"/>
          <w:sz w:val="30"/>
          <w:szCs w:val="30"/>
          <w:lang w:val="en-US" w:eastAsia="zh-CN"/>
        </w:rPr>
        <w:t>调整前</w:t>
      </w:r>
      <w:r>
        <w:rPr>
          <w:rFonts w:hint="default" w:ascii="Times New Roman" w:hAnsi="Times New Roman" w:eastAsia="仿宋_GB2312" w:cs="Times New Roman"/>
          <w:color w:val="000000"/>
          <w:sz w:val="30"/>
          <w:szCs w:val="30"/>
        </w:rPr>
        <w:t>片区总面积为107.2058公顷</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lang w:val="en-US" w:eastAsia="zh-CN"/>
        </w:rPr>
        <w:t>调整后</w:t>
      </w:r>
      <w:r>
        <w:rPr>
          <w:rFonts w:hint="default" w:ascii="Times New Roman" w:hAnsi="Times New Roman" w:eastAsia="仿宋_GB2312" w:cs="Times New Roman"/>
          <w:color w:val="000000"/>
          <w:sz w:val="30"/>
          <w:szCs w:val="30"/>
        </w:rPr>
        <w:t>片区总面积为82.8569公顷，东至烟沪线，南至纬三路，西至串场河，北至村镇建设服务中心。</w:t>
      </w:r>
    </w:p>
    <w:p w14:paraId="28BF5AB9">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新城中部片区（CP320925-2023-01-08）位于</w:t>
      </w:r>
      <w:r>
        <w:rPr>
          <w:rFonts w:hint="default" w:ascii="Times New Roman" w:hAnsi="Times New Roman" w:eastAsia="仿宋_GB2312" w:cs="Times New Roman"/>
          <w:color w:val="000000"/>
          <w:sz w:val="30"/>
          <w:szCs w:val="30"/>
          <w:lang w:val="en-US" w:eastAsia="zh-CN"/>
        </w:rPr>
        <w:t>上冈镇榆西村、大团村</w:t>
      </w:r>
      <w:r>
        <w:rPr>
          <w:rFonts w:hint="default" w:ascii="Times New Roman" w:hAnsi="Times New Roman" w:eastAsia="仿宋_GB2312" w:cs="Times New Roman"/>
          <w:color w:val="000000"/>
          <w:sz w:val="30"/>
          <w:szCs w:val="30"/>
        </w:rPr>
        <w:t>，</w:t>
      </w:r>
      <w:r>
        <w:rPr>
          <w:rFonts w:hint="default" w:ascii="Times New Roman" w:hAnsi="Times New Roman" w:eastAsia="仿宋_GB2312" w:cs="Times New Roman"/>
          <w:color w:val="000000"/>
          <w:sz w:val="30"/>
          <w:szCs w:val="30"/>
          <w:lang w:val="en-US" w:eastAsia="zh-CN"/>
        </w:rPr>
        <w:t>调整前</w:t>
      </w:r>
      <w:r>
        <w:rPr>
          <w:rFonts w:hint="default" w:ascii="Times New Roman" w:hAnsi="Times New Roman" w:eastAsia="仿宋_GB2312" w:cs="Times New Roman"/>
          <w:color w:val="000000"/>
          <w:sz w:val="30"/>
          <w:szCs w:val="30"/>
        </w:rPr>
        <w:t>片区总面积为114.8794公顷</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lang w:val="en-US" w:eastAsia="zh-CN"/>
        </w:rPr>
        <w:t>调整后</w:t>
      </w:r>
      <w:r>
        <w:rPr>
          <w:rFonts w:hint="default" w:ascii="Times New Roman" w:hAnsi="Times New Roman" w:eastAsia="仿宋_GB2312" w:cs="Times New Roman"/>
          <w:color w:val="000000"/>
          <w:sz w:val="30"/>
          <w:szCs w:val="30"/>
        </w:rPr>
        <w:t>片区总面积为77.2944公顷，东至人民路，南至潭洋河，西至串场河，北至福冈路。</w:t>
      </w:r>
    </w:p>
    <w:p w14:paraId="23C59A0E">
      <w:pPr>
        <w:keepNext w:val="0"/>
        <w:keepLines w:val="0"/>
        <w:pageBreakBefore w:val="0"/>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仿宋_GB2312" w:cs="Times New Roman"/>
          <w:color w:val="000000"/>
          <w:sz w:val="28"/>
          <w:szCs w:val="28"/>
        </w:rPr>
      </w:pPr>
    </w:p>
    <w:p w14:paraId="32C991B9">
      <w:pPr>
        <w:keepNext w:val="0"/>
        <w:keepLines w:val="0"/>
        <w:pageBreakBefore w:val="0"/>
        <w:kinsoku/>
        <w:wordWrap/>
        <w:overflowPunct/>
        <w:topLinePunct w:val="0"/>
        <w:autoSpaceDE/>
        <w:autoSpaceDN/>
        <w:bidi w:val="0"/>
        <w:snapToGrid/>
        <w:spacing w:line="580" w:lineRule="exact"/>
        <w:ind w:firstLine="560" w:firstLineChars="200"/>
        <w:rPr>
          <w:rFonts w:hint="default" w:ascii="Times New Roman" w:hAnsi="Times New Roman" w:eastAsia="仿宋_GB2312" w:cs="Times New Roman"/>
          <w:color w:val="000000"/>
          <w:sz w:val="28"/>
          <w:szCs w:val="28"/>
        </w:rPr>
      </w:pPr>
    </w:p>
    <w:p w14:paraId="7D1D0AB7">
      <w:pPr>
        <w:pStyle w:val="2"/>
        <w:keepNext w:val="0"/>
        <w:keepLines w:val="0"/>
        <w:pageBreakBefore w:val="0"/>
        <w:kinsoku/>
        <w:wordWrap/>
        <w:overflowPunct/>
        <w:topLinePunct w:val="0"/>
        <w:autoSpaceDE/>
        <w:autoSpaceDN/>
        <w:bidi w:val="0"/>
        <w:snapToGrid/>
        <w:spacing w:line="580" w:lineRule="exact"/>
        <w:rPr>
          <w:rFonts w:hint="default" w:ascii="Times New Roman" w:hAnsi="Times New Roman" w:eastAsia="仿宋_GB2312" w:cs="Times New Roman"/>
        </w:rPr>
        <w:sectPr>
          <w:footerReference r:id="rId3" w:type="default"/>
          <w:pgSz w:w="11906" w:h="16838"/>
          <w:pgMar w:top="1440" w:right="1803" w:bottom="1440" w:left="1803" w:header="851" w:footer="992" w:gutter="0"/>
          <w:pgNumType w:fmt="numberInDash" w:start="1"/>
          <w:cols w:space="425" w:num="1"/>
          <w:docGrid w:type="lines" w:linePitch="312" w:charSpace="0"/>
        </w:sectPr>
      </w:pPr>
    </w:p>
    <w:p w14:paraId="7E56614B">
      <w:pPr>
        <w:keepNext w:val="0"/>
        <w:keepLines w:val="0"/>
        <w:pageBreakBefore w:val="0"/>
        <w:widowControl/>
        <w:kinsoku/>
        <w:wordWrap/>
        <w:overflowPunct/>
        <w:topLinePunct w:val="0"/>
        <w:autoSpaceDE/>
        <w:autoSpaceDN/>
        <w:bidi w:val="0"/>
        <w:snapToGrid/>
        <w:spacing w:line="580" w:lineRule="exact"/>
        <w:jc w:val="center"/>
        <w:rPr>
          <w:rFonts w:hint="default" w:ascii="Times New Roman" w:hAnsi="Times New Roman" w:eastAsia="仿宋_GB2312" w:cs="Times New Roman"/>
          <w:b/>
          <w:color w:val="000000"/>
          <w:sz w:val="28"/>
          <w:szCs w:val="28"/>
        </w:rPr>
      </w:pPr>
      <w:r>
        <w:rPr>
          <w:rFonts w:hint="default" w:ascii="Times New Roman" w:hAnsi="Times New Roman" w:eastAsia="仿宋_GB2312" w:cs="Times New Roman"/>
          <w:b/>
          <w:color w:val="000000"/>
          <w:sz w:val="28"/>
          <w:szCs w:val="28"/>
        </w:rPr>
        <w:t>表2-1片区土地利用开发状况表</w:t>
      </w:r>
    </w:p>
    <w:p w14:paraId="6F1A47EF">
      <w:pPr>
        <w:keepNext w:val="0"/>
        <w:keepLines w:val="0"/>
        <w:pageBreakBefore w:val="0"/>
        <w:widowControl/>
        <w:kinsoku/>
        <w:wordWrap/>
        <w:overflowPunct/>
        <w:topLinePunct w:val="0"/>
        <w:autoSpaceDE/>
        <w:autoSpaceDN/>
        <w:bidi w:val="0"/>
        <w:snapToGrid/>
        <w:spacing w:line="580" w:lineRule="exact"/>
        <w:jc w:val="righ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单位：公顷</w:t>
      </w:r>
    </w:p>
    <w:tbl>
      <w:tblPr>
        <w:tblStyle w:val="8"/>
        <w:tblW w:w="146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78"/>
        <w:gridCol w:w="1840"/>
        <w:gridCol w:w="1230"/>
        <w:gridCol w:w="1614"/>
        <w:gridCol w:w="1724"/>
        <w:gridCol w:w="1180"/>
        <w:gridCol w:w="1626"/>
        <w:gridCol w:w="1655"/>
        <w:gridCol w:w="1275"/>
      </w:tblGrid>
      <w:tr w14:paraId="22EF9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8" w:hRule="atLeast"/>
          <w:jc w:val="center"/>
        </w:trPr>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BE8E">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b/>
                <w:bCs/>
                <w:i w:val="0"/>
                <w:iCs w:val="0"/>
                <w:color w:val="000000"/>
                <w:sz w:val="24"/>
                <w:szCs w:val="24"/>
                <w:u w:val="none"/>
              </w:rPr>
            </w:pPr>
            <w:r>
              <w:rPr>
                <w:rStyle w:val="18"/>
                <w:rFonts w:hint="default" w:ascii="Times New Roman" w:hAnsi="Times New Roman" w:eastAsia="仿宋_GB2312" w:cs="Times New Roman"/>
                <w:lang w:val="en-US" w:eastAsia="zh-CN" w:bidi="ar"/>
              </w:rPr>
              <w:t>片区编号</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3974">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b/>
                <w:bCs/>
                <w:i w:val="0"/>
                <w:iCs w:val="0"/>
                <w:color w:val="000000"/>
                <w:sz w:val="24"/>
                <w:szCs w:val="24"/>
                <w:u w:val="none"/>
              </w:rPr>
            </w:pPr>
            <w:r>
              <w:rPr>
                <w:rStyle w:val="18"/>
                <w:rFonts w:hint="default" w:ascii="Times New Roman" w:hAnsi="Times New Roman" w:eastAsia="仿宋_GB2312" w:cs="Times New Roman"/>
                <w:lang w:val="en-US" w:eastAsia="zh-CN" w:bidi="ar"/>
              </w:rPr>
              <w:t>片区名称</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570C">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b/>
                <w:bCs/>
                <w:i w:val="0"/>
                <w:iCs w:val="0"/>
                <w:color w:val="000000"/>
                <w:sz w:val="24"/>
                <w:szCs w:val="24"/>
                <w:u w:val="none"/>
              </w:rPr>
            </w:pPr>
            <w:r>
              <w:rPr>
                <w:rStyle w:val="18"/>
                <w:rFonts w:hint="default" w:ascii="Times New Roman" w:hAnsi="Times New Roman" w:eastAsia="仿宋_GB2312" w:cs="Times New Roman"/>
                <w:lang w:val="en-US" w:eastAsia="zh-CN" w:bidi="ar"/>
              </w:rPr>
              <w:t>调整前总面积</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CA80">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b/>
                <w:bCs/>
                <w:i w:val="0"/>
                <w:iCs w:val="0"/>
                <w:color w:val="000000"/>
                <w:sz w:val="24"/>
                <w:szCs w:val="24"/>
                <w:u w:val="none"/>
              </w:rPr>
            </w:pPr>
            <w:r>
              <w:rPr>
                <w:rStyle w:val="18"/>
                <w:rFonts w:hint="default" w:ascii="Times New Roman" w:hAnsi="Times New Roman" w:eastAsia="仿宋_GB2312" w:cs="Times New Roman"/>
                <w:lang w:val="en-US" w:eastAsia="zh-CN" w:bidi="ar"/>
              </w:rPr>
              <w:t>调整前公益性用地面积</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710">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b/>
                <w:bCs/>
                <w:i w:val="0"/>
                <w:iCs w:val="0"/>
                <w:color w:val="000000"/>
                <w:sz w:val="24"/>
                <w:szCs w:val="24"/>
                <w:u w:val="none"/>
              </w:rPr>
            </w:pPr>
            <w:r>
              <w:rPr>
                <w:rStyle w:val="18"/>
                <w:rFonts w:hint="default" w:ascii="Times New Roman" w:hAnsi="Times New Roman" w:eastAsia="仿宋_GB2312" w:cs="Times New Roman"/>
                <w:lang w:val="en-US" w:eastAsia="zh-CN" w:bidi="ar"/>
              </w:rPr>
              <w:t>调整前公益性用地比例</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A326">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b/>
                <w:bCs/>
                <w:i w:val="0"/>
                <w:iCs w:val="0"/>
                <w:color w:val="000000"/>
                <w:sz w:val="24"/>
                <w:szCs w:val="24"/>
                <w:u w:val="none"/>
              </w:rPr>
            </w:pPr>
            <w:r>
              <w:rPr>
                <w:rStyle w:val="18"/>
                <w:rFonts w:hint="default" w:ascii="Times New Roman" w:hAnsi="Times New Roman" w:eastAsia="仿宋_GB2312" w:cs="Times New Roman"/>
                <w:lang w:val="en-US" w:eastAsia="zh-CN" w:bidi="ar"/>
              </w:rPr>
              <w:t>调整后总面积</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9ECC">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b/>
                <w:bCs/>
                <w:i w:val="0"/>
                <w:iCs w:val="0"/>
                <w:color w:val="000000"/>
                <w:sz w:val="24"/>
                <w:szCs w:val="24"/>
                <w:u w:val="none"/>
              </w:rPr>
            </w:pPr>
            <w:r>
              <w:rPr>
                <w:rStyle w:val="18"/>
                <w:rFonts w:hint="default" w:ascii="Times New Roman" w:hAnsi="Times New Roman" w:eastAsia="仿宋_GB2312" w:cs="Times New Roman"/>
                <w:lang w:val="en-US" w:eastAsia="zh-CN" w:bidi="ar"/>
              </w:rPr>
              <w:t>调整后公益性用地面积</w:t>
            </w: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7F1D">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b/>
                <w:bCs/>
                <w:i w:val="0"/>
                <w:iCs w:val="0"/>
                <w:color w:val="000000"/>
                <w:sz w:val="24"/>
                <w:szCs w:val="24"/>
                <w:u w:val="none"/>
              </w:rPr>
            </w:pPr>
            <w:r>
              <w:rPr>
                <w:rStyle w:val="18"/>
                <w:rFonts w:hint="default" w:ascii="Times New Roman" w:hAnsi="Times New Roman" w:eastAsia="仿宋_GB2312" w:cs="Times New Roman"/>
                <w:lang w:val="en-US" w:eastAsia="zh-CN" w:bidi="ar"/>
              </w:rPr>
              <w:t>调整后公益性用地比例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5FA9">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b/>
                <w:bCs/>
                <w:i w:val="0"/>
                <w:iCs w:val="0"/>
                <w:color w:val="000000"/>
                <w:sz w:val="24"/>
                <w:szCs w:val="24"/>
                <w:u w:val="none"/>
              </w:rPr>
            </w:pPr>
            <w:r>
              <w:rPr>
                <w:rStyle w:val="18"/>
                <w:rFonts w:hint="default" w:ascii="Times New Roman" w:hAnsi="Times New Roman" w:eastAsia="仿宋_GB2312" w:cs="Times New Roman"/>
                <w:lang w:val="en-US" w:eastAsia="zh-CN" w:bidi="ar"/>
              </w:rPr>
              <w:t>涉及乡镇</w:t>
            </w:r>
          </w:p>
        </w:tc>
      </w:tr>
      <w:tr w14:paraId="676B9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jc w:val="center"/>
        </w:trPr>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2195">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CP320925-2021-01-11</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0AAA">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上冈新城公园北侧片区</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5D3E">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74.2239</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DEAA">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30.076</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528B">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40.52%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2F76">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70.457</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C3EC">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29.1095</w:t>
            </w: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61695">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41.32%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C615">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Style w:val="19"/>
                <w:rFonts w:hint="default" w:ascii="Times New Roman" w:hAnsi="Times New Roman" w:eastAsia="仿宋_GB2312" w:cs="Times New Roman"/>
                <w:sz w:val="24"/>
                <w:szCs w:val="24"/>
                <w:lang w:val="en-US" w:eastAsia="zh-CN" w:bidi="ar"/>
              </w:rPr>
              <w:t>上冈镇</w:t>
            </w:r>
          </w:p>
        </w:tc>
      </w:tr>
      <w:tr w14:paraId="7C646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jc w:val="center"/>
        </w:trPr>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5CE8">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CP320925-2021-01-12</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5A19">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上冈新城公园南侧片区</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4F30">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74.4765</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6599">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42.4101</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7D93">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56.94%</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658A">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64.8087</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2E34">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28.2803</w:t>
            </w: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39A8">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43.64%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FBB8">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Style w:val="19"/>
                <w:rFonts w:hint="default" w:ascii="Times New Roman" w:hAnsi="Times New Roman" w:eastAsia="仿宋_GB2312" w:cs="Times New Roman"/>
                <w:sz w:val="24"/>
                <w:szCs w:val="24"/>
                <w:lang w:val="en-US" w:eastAsia="zh-CN" w:bidi="ar"/>
              </w:rPr>
              <w:t>上冈镇</w:t>
            </w:r>
          </w:p>
        </w:tc>
      </w:tr>
      <w:tr w14:paraId="0B4E4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jc w:val="center"/>
        </w:trPr>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F06B3">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CP320925-2022-01-01</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1C10">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上冈新城北部片区</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66D8">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107.2058</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6F1B">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46.1485</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2C67">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43.05%</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1431">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82.8569</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75EF">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33.5554</w:t>
            </w: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D228">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40.50%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EB99">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Style w:val="19"/>
                <w:rFonts w:hint="default" w:ascii="Times New Roman" w:hAnsi="Times New Roman" w:eastAsia="仿宋_GB2312" w:cs="Times New Roman"/>
                <w:sz w:val="24"/>
                <w:szCs w:val="24"/>
                <w:lang w:val="en-US" w:eastAsia="zh-CN" w:bidi="ar"/>
              </w:rPr>
              <w:t>上冈镇</w:t>
            </w:r>
          </w:p>
        </w:tc>
      </w:tr>
      <w:tr w14:paraId="6D89C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jc w:val="center"/>
        </w:trPr>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9584">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CP320925-2023-01-08</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BBC5">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新城中部片区</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4F53">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114.8794</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397D">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46.09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CBE3">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40.12%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69A9">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77.2944</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4019">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35.0414</w:t>
            </w: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A3DC">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45.33%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6984">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Style w:val="19"/>
                <w:rFonts w:hint="default" w:ascii="Times New Roman" w:hAnsi="Times New Roman" w:eastAsia="仿宋_GB2312" w:cs="Times New Roman"/>
                <w:sz w:val="24"/>
                <w:szCs w:val="24"/>
                <w:lang w:val="en-US" w:eastAsia="zh-CN" w:bidi="ar"/>
              </w:rPr>
              <w:t>上冈镇</w:t>
            </w:r>
          </w:p>
        </w:tc>
      </w:tr>
      <w:tr w14:paraId="4DCE1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4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3C11">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Style w:val="20"/>
                <w:rFonts w:hint="default" w:ascii="Times New Roman" w:hAnsi="Times New Roman" w:eastAsia="仿宋_GB2312" w:cs="Times New Roman"/>
                <w:sz w:val="24"/>
                <w:szCs w:val="24"/>
                <w:lang w:val="en-US" w:eastAsia="zh-CN" w:bidi="ar"/>
              </w:rPr>
              <w:t>合计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5436">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370.7856</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4625">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164.7246</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70DF">
            <w:pPr>
              <w:keepNext w:val="0"/>
              <w:keepLines w:val="0"/>
              <w:pageBreakBefore w:val="0"/>
              <w:kinsoku/>
              <w:wordWrap/>
              <w:overflowPunct/>
              <w:topLinePunct w:val="0"/>
              <w:autoSpaceDE/>
              <w:autoSpaceDN/>
              <w:bidi w:val="0"/>
              <w:snapToGrid/>
              <w:spacing w:line="580" w:lineRule="exact"/>
              <w:jc w:val="center"/>
              <w:rPr>
                <w:rFonts w:hint="default" w:ascii="Times New Roman" w:hAnsi="Times New Roman" w:eastAsia="仿宋_GB2312" w:cs="Times New Roman"/>
                <w:i w:val="0"/>
                <w:iCs w:val="0"/>
                <w:color w:val="000000"/>
                <w:sz w:val="24"/>
                <w:szCs w:val="24"/>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5457">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295.417</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7C0A">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125.9866</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561CF">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C45A3">
            <w:pPr>
              <w:keepNext w:val="0"/>
              <w:keepLines w:val="0"/>
              <w:pageBreakBefore w:val="0"/>
              <w:widowControl/>
              <w:suppressLineNumbers w:val="0"/>
              <w:kinsoku/>
              <w:wordWrap/>
              <w:overflowPunct/>
              <w:topLinePunct w:val="0"/>
              <w:autoSpaceDE/>
              <w:autoSpaceDN/>
              <w:bidi w:val="0"/>
              <w:snapToGrid/>
              <w:spacing w:line="58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bl>
    <w:p w14:paraId="27C116AA">
      <w:pPr>
        <w:keepNext w:val="0"/>
        <w:keepLines w:val="0"/>
        <w:pageBreakBefore w:val="0"/>
        <w:widowControl/>
        <w:kinsoku/>
        <w:wordWrap/>
        <w:overflowPunct/>
        <w:topLinePunct w:val="0"/>
        <w:autoSpaceDE/>
        <w:autoSpaceDN/>
        <w:bidi w:val="0"/>
        <w:snapToGrid/>
        <w:spacing w:line="580" w:lineRule="exact"/>
        <w:jc w:val="left"/>
        <w:rPr>
          <w:rFonts w:hint="default" w:ascii="Times New Roman" w:hAnsi="Times New Roman" w:eastAsia="仿宋_GB2312" w:cs="Times New Roman"/>
          <w:color w:val="000000"/>
          <w:sz w:val="24"/>
          <w:szCs w:val="24"/>
        </w:rPr>
        <w:sectPr>
          <w:pgSz w:w="16838" w:h="11906" w:orient="landscape"/>
          <w:pgMar w:top="1800" w:right="1440" w:bottom="1800" w:left="1440" w:header="851" w:footer="992" w:gutter="0"/>
          <w:pgNumType w:fmt="numberInDash"/>
          <w:cols w:space="425" w:num="1"/>
          <w:docGrid w:type="lines" w:linePitch="312" w:charSpace="0"/>
        </w:sectPr>
      </w:pPr>
    </w:p>
    <w:p w14:paraId="1C8FB194">
      <w:pPr>
        <w:keepNext w:val="0"/>
        <w:keepLines w:val="0"/>
        <w:pageBreakBefore w:val="0"/>
        <w:kinsoku/>
        <w:wordWrap/>
        <w:overflowPunct/>
        <w:topLinePunct w:val="0"/>
        <w:autoSpaceDE/>
        <w:autoSpaceDN/>
        <w:bidi w:val="0"/>
        <w:snapToGrid/>
        <w:spacing w:line="580" w:lineRule="exact"/>
        <w:ind w:firstLine="643" w:firstLineChars="200"/>
        <w:jc w:val="left"/>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（二）符合国土空间规划情况</w:t>
      </w:r>
    </w:p>
    <w:p w14:paraId="7BDCADCF">
      <w:pPr>
        <w:keepNext w:val="0"/>
        <w:keepLines w:val="0"/>
        <w:pageBreakBefore w:val="0"/>
        <w:kinsoku/>
        <w:wordWrap/>
        <w:overflowPunct/>
        <w:topLinePunct w:val="0"/>
        <w:autoSpaceDE/>
        <w:autoSpaceDN/>
        <w:bidi w:val="0"/>
        <w:snapToGrid/>
        <w:spacing w:line="580" w:lineRule="exact"/>
        <w:ind w:firstLine="602" w:firstLineChars="200"/>
        <w:jc w:val="left"/>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1、符合相关红线管控要求</w:t>
      </w:r>
    </w:p>
    <w:p w14:paraId="256AE669">
      <w:pPr>
        <w:keepNext w:val="0"/>
        <w:keepLines w:val="0"/>
        <w:pageBreakBefore w:val="0"/>
        <w:kinsoku/>
        <w:wordWrap/>
        <w:overflowPunct/>
        <w:topLinePunct w:val="0"/>
        <w:autoSpaceDE/>
        <w:autoSpaceDN/>
        <w:bidi w:val="0"/>
        <w:snapToGrid/>
        <w:spacing w:line="58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本方案所有开发片区均未涉及建湖县永久基本农田、生态保护红线和生态管控区。</w:t>
      </w:r>
    </w:p>
    <w:p w14:paraId="6E2B58A5">
      <w:pPr>
        <w:keepNext w:val="0"/>
        <w:keepLines w:val="0"/>
        <w:pageBreakBefore w:val="0"/>
        <w:kinsoku/>
        <w:wordWrap/>
        <w:overflowPunct/>
        <w:topLinePunct w:val="0"/>
        <w:autoSpaceDE/>
        <w:autoSpaceDN/>
        <w:bidi w:val="0"/>
        <w:snapToGrid/>
        <w:spacing w:line="58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本方案土地征收成片开发内容符合《江苏省生态空间管控区域规划》和《江苏省</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三线一单</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生态环境分区》的要求，所有开发片区均未涉及江苏省生态空间管控区域。</w:t>
      </w:r>
    </w:p>
    <w:p w14:paraId="3811ECE9">
      <w:pPr>
        <w:keepNext w:val="0"/>
        <w:keepLines w:val="0"/>
        <w:pageBreakBefore w:val="0"/>
        <w:kinsoku/>
        <w:wordWrap/>
        <w:overflowPunct/>
        <w:topLinePunct w:val="0"/>
        <w:autoSpaceDE/>
        <w:autoSpaceDN/>
        <w:bidi w:val="0"/>
        <w:snapToGrid/>
        <w:spacing w:line="580" w:lineRule="exact"/>
        <w:ind w:firstLine="602" w:firstLineChars="200"/>
        <w:jc w:val="left"/>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2、片区符合国民经济与社会发展规划情况</w:t>
      </w:r>
    </w:p>
    <w:p w14:paraId="16A72C6B">
      <w:pPr>
        <w:keepNext w:val="0"/>
        <w:keepLines w:val="0"/>
        <w:pageBreakBefore w:val="0"/>
        <w:kinsoku/>
        <w:wordWrap/>
        <w:overflowPunct/>
        <w:topLinePunct w:val="0"/>
        <w:autoSpaceDE/>
        <w:autoSpaceDN/>
        <w:bidi w:val="0"/>
        <w:snapToGrid/>
        <w:spacing w:line="580" w:lineRule="exact"/>
        <w:ind w:firstLine="600" w:firstLineChars="200"/>
        <w:rPr>
          <w:rFonts w:hint="default" w:ascii="Times New Roman" w:hAnsi="Times New Roman" w:eastAsia="仿宋_GB2312" w:cs="Times New Roman"/>
          <w:color w:val="000000" w:themeColor="text1"/>
          <w:sz w:val="30"/>
          <w:szCs w:val="30"/>
          <w14:textFill>
            <w14:solidFill>
              <w14:schemeClr w14:val="tx1"/>
            </w14:solidFill>
          </w14:textFill>
        </w:rPr>
      </w:pPr>
      <w:r>
        <w:rPr>
          <w:rFonts w:hint="default" w:ascii="Times New Roman" w:hAnsi="Times New Roman" w:eastAsia="仿宋_GB2312" w:cs="Times New Roman"/>
          <w:color w:val="000000" w:themeColor="text1"/>
          <w:sz w:val="30"/>
          <w:szCs w:val="30"/>
          <w14:textFill>
            <w14:solidFill>
              <w14:schemeClr w14:val="tx1"/>
            </w14:solidFill>
          </w14:textFill>
        </w:rPr>
        <w:t>片区土地征收成片开发符合建湖县国民经济和社会发展规划提出的目标与要求，并已经纳入到同级地方人大审议通过的国民经济和社会发展年度计划中。</w:t>
      </w:r>
    </w:p>
    <w:p w14:paraId="6FB880AF">
      <w:pPr>
        <w:keepNext w:val="0"/>
        <w:keepLines w:val="0"/>
        <w:pageBreakBefore w:val="0"/>
        <w:kinsoku/>
        <w:wordWrap/>
        <w:overflowPunct/>
        <w:topLinePunct w:val="0"/>
        <w:autoSpaceDE/>
        <w:autoSpaceDN/>
        <w:bidi w:val="0"/>
        <w:snapToGrid/>
        <w:spacing w:line="580" w:lineRule="exact"/>
        <w:ind w:firstLine="602" w:firstLineChars="200"/>
        <w:jc w:val="left"/>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3、符合国土空间规划城镇开发边界管控要求</w:t>
      </w:r>
    </w:p>
    <w:p w14:paraId="288C1E44">
      <w:pPr>
        <w:keepNext w:val="0"/>
        <w:keepLines w:val="0"/>
        <w:pageBreakBefore w:val="0"/>
        <w:kinsoku/>
        <w:wordWrap/>
        <w:overflowPunct/>
        <w:topLinePunct w:val="0"/>
        <w:autoSpaceDE/>
        <w:autoSpaceDN/>
        <w:bidi w:val="0"/>
        <w:snapToGrid/>
        <w:spacing w:line="580" w:lineRule="exact"/>
        <w:ind w:firstLine="600" w:firstLineChars="200"/>
        <w:rPr>
          <w:rFonts w:hint="default" w:ascii="Times New Roman" w:hAnsi="Times New Roman" w:eastAsia="仿宋_GB2312" w:cs="Times New Roman"/>
          <w:color w:val="000000" w:themeColor="text1"/>
          <w:sz w:val="30"/>
          <w:szCs w:val="30"/>
          <w14:textFill>
            <w14:solidFill>
              <w14:schemeClr w14:val="tx1"/>
            </w14:solidFill>
          </w14:textFill>
        </w:rPr>
      </w:pPr>
      <w:r>
        <w:rPr>
          <w:rFonts w:hint="default" w:ascii="Times New Roman" w:hAnsi="Times New Roman" w:eastAsia="仿宋_GB2312" w:cs="Times New Roman"/>
          <w:color w:val="000000" w:themeColor="text1"/>
          <w:sz w:val="30"/>
          <w:szCs w:val="30"/>
          <w14:textFill>
            <w14:solidFill>
              <w14:schemeClr w14:val="tx1"/>
            </w14:solidFill>
          </w14:textFill>
        </w:rPr>
        <w:t>所有开发片区规划建设用地均位于建湖县国土空间</w:t>
      </w:r>
      <w:r>
        <w:rPr>
          <w:rFonts w:hint="default" w:ascii="Times New Roman" w:hAnsi="Times New Roman" w:eastAsia="仿宋_GB2312" w:cs="Times New Roman"/>
          <w:color w:val="000000" w:themeColor="text1"/>
          <w:sz w:val="30"/>
          <w:szCs w:val="30"/>
          <w:lang w:val="en-US" w:eastAsia="zh-CN"/>
          <w14:textFill>
            <w14:solidFill>
              <w14:schemeClr w14:val="tx1"/>
            </w14:solidFill>
          </w14:textFill>
        </w:rPr>
        <w:t>总体规划</w:t>
      </w:r>
      <w:r>
        <w:rPr>
          <w:rFonts w:hint="default" w:ascii="Times New Roman" w:hAnsi="Times New Roman" w:eastAsia="仿宋_GB2312" w:cs="Times New Roman"/>
          <w:color w:val="000000" w:themeColor="text1"/>
          <w:sz w:val="30"/>
          <w:szCs w:val="30"/>
          <w14:textFill>
            <w14:solidFill>
              <w14:schemeClr w14:val="tx1"/>
            </w14:solidFill>
          </w14:textFill>
        </w:rPr>
        <w:t>划定的</w:t>
      </w:r>
      <w:r>
        <w:rPr>
          <w:rFonts w:hint="default" w:ascii="Times New Roman" w:hAnsi="Times New Roman" w:eastAsia="仿宋_GB2312" w:cs="Times New Roman"/>
          <w:color w:val="000000" w:themeColor="text1"/>
          <w:sz w:val="30"/>
          <w:szCs w:val="30"/>
          <w:lang w:eastAsia="zh-CN"/>
          <w14:textFill>
            <w14:solidFill>
              <w14:schemeClr w14:val="tx1"/>
            </w14:solidFill>
          </w14:textFill>
        </w:rPr>
        <w:t>“</w:t>
      </w:r>
      <w:r>
        <w:rPr>
          <w:rFonts w:hint="default" w:ascii="Times New Roman" w:hAnsi="Times New Roman" w:eastAsia="仿宋_GB2312" w:cs="Times New Roman"/>
          <w:color w:val="000000" w:themeColor="text1"/>
          <w:sz w:val="30"/>
          <w:szCs w:val="30"/>
          <w14:textFill>
            <w14:solidFill>
              <w14:schemeClr w14:val="tx1"/>
            </w14:solidFill>
          </w14:textFill>
        </w:rPr>
        <w:t>三区三线</w:t>
      </w:r>
      <w:r>
        <w:rPr>
          <w:rFonts w:hint="default" w:ascii="Times New Roman" w:hAnsi="Times New Roman" w:eastAsia="仿宋_GB2312" w:cs="Times New Roman"/>
          <w:color w:val="000000" w:themeColor="text1"/>
          <w:sz w:val="30"/>
          <w:szCs w:val="30"/>
          <w:lang w:eastAsia="zh-CN"/>
          <w14:textFill>
            <w14:solidFill>
              <w14:schemeClr w14:val="tx1"/>
            </w14:solidFill>
          </w14:textFill>
        </w:rPr>
        <w:t>”</w:t>
      </w:r>
      <w:r>
        <w:rPr>
          <w:rFonts w:hint="default" w:ascii="Times New Roman" w:hAnsi="Times New Roman" w:eastAsia="仿宋_GB2312" w:cs="Times New Roman"/>
          <w:color w:val="000000" w:themeColor="text1"/>
          <w:sz w:val="30"/>
          <w:szCs w:val="30"/>
          <w14:textFill>
            <w14:solidFill>
              <w14:schemeClr w14:val="tx1"/>
            </w14:solidFill>
          </w14:textFill>
        </w:rPr>
        <w:t>中的城镇开发边界内。</w:t>
      </w:r>
    </w:p>
    <w:p w14:paraId="32718081">
      <w:pPr>
        <w:keepNext w:val="0"/>
        <w:keepLines w:val="0"/>
        <w:pageBreakBefore w:val="0"/>
        <w:kinsoku/>
        <w:wordWrap/>
        <w:overflowPunct/>
        <w:topLinePunct w:val="0"/>
        <w:autoSpaceDE/>
        <w:autoSpaceDN/>
        <w:bidi w:val="0"/>
        <w:snapToGrid/>
        <w:spacing w:line="580" w:lineRule="exact"/>
        <w:ind w:firstLine="602" w:firstLineChars="200"/>
        <w:jc w:val="left"/>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4、与现行城市、镇总体规划及控制性详细规划衔接情况</w:t>
      </w:r>
    </w:p>
    <w:p w14:paraId="108FA418">
      <w:pPr>
        <w:keepNext w:val="0"/>
        <w:keepLines w:val="0"/>
        <w:pageBreakBefore w:val="0"/>
        <w:kinsoku/>
        <w:wordWrap/>
        <w:overflowPunct/>
        <w:topLinePunct w:val="0"/>
        <w:autoSpaceDE/>
        <w:autoSpaceDN/>
        <w:bidi w:val="0"/>
        <w:snapToGrid/>
        <w:spacing w:line="58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本次土地征收成片开发范围均布局在建湖县各控制性详细规划单元内，符合城市、街镇规划发展方向，成片开发片区内规划建设项目类型也与所在单元控制性详细规划中的地块规划用途一致，符合所在区域功能定位。</w:t>
      </w:r>
    </w:p>
    <w:p w14:paraId="1FB08379">
      <w:pPr>
        <w:keepNext w:val="0"/>
        <w:keepLines w:val="0"/>
        <w:pageBreakBefore w:val="0"/>
        <w:kinsoku/>
        <w:wordWrap/>
        <w:overflowPunct/>
        <w:topLinePunct w:val="0"/>
        <w:autoSpaceDE/>
        <w:autoSpaceDN/>
        <w:bidi w:val="0"/>
        <w:snapToGrid/>
        <w:spacing w:line="580" w:lineRule="exact"/>
        <w:ind w:firstLine="602" w:firstLineChars="200"/>
        <w:rPr>
          <w:rFonts w:hint="default" w:ascii="Times New Roman" w:hAnsi="Times New Roman" w:eastAsia="仿宋_GB2312" w:cs="Times New Roman"/>
          <w:b/>
          <w:color w:val="000000"/>
          <w:sz w:val="30"/>
          <w:szCs w:val="30"/>
        </w:rPr>
      </w:pPr>
      <w:r>
        <w:rPr>
          <w:rFonts w:hint="default" w:ascii="Times New Roman" w:hAnsi="Times New Roman" w:eastAsia="仿宋_GB2312" w:cs="Times New Roman"/>
          <w:b/>
          <w:color w:val="000000"/>
          <w:sz w:val="30"/>
          <w:szCs w:val="30"/>
        </w:rPr>
        <w:t>（三）与其他规划的衔接</w:t>
      </w:r>
    </w:p>
    <w:p w14:paraId="648A4DC8">
      <w:pPr>
        <w:keepNext w:val="0"/>
        <w:keepLines w:val="0"/>
        <w:pageBreakBefore w:val="0"/>
        <w:kinsoku/>
        <w:wordWrap/>
        <w:overflowPunct/>
        <w:topLinePunct w:val="0"/>
        <w:autoSpaceDE/>
        <w:autoSpaceDN/>
        <w:bidi w:val="0"/>
        <w:snapToGrid/>
        <w:spacing w:line="58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方案未涉及划定的粮食生产功能区和重要农产品生产保护区</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lang w:val="en-US" w:eastAsia="zh-CN"/>
        </w:rPr>
        <w:t>涉及已建的高标准农田项目在原成片开发方案编制时已完成补划，本次调整不涉及新占用高标准农田</w:t>
      </w:r>
      <w:r>
        <w:rPr>
          <w:rFonts w:hint="default" w:ascii="Times New Roman" w:hAnsi="Times New Roman" w:eastAsia="仿宋_GB2312" w:cs="Times New Roman"/>
          <w:color w:val="000000"/>
          <w:sz w:val="30"/>
          <w:szCs w:val="30"/>
        </w:rPr>
        <w:t>。</w:t>
      </w:r>
    </w:p>
    <w:p w14:paraId="34D3A1EE">
      <w:pPr>
        <w:keepNext w:val="0"/>
        <w:keepLines w:val="0"/>
        <w:pageBreakBefore w:val="0"/>
        <w:kinsoku/>
        <w:wordWrap/>
        <w:overflowPunct/>
        <w:topLinePunct w:val="0"/>
        <w:autoSpaceDE/>
        <w:autoSpaceDN/>
        <w:bidi w:val="0"/>
        <w:snapToGrid/>
        <w:spacing w:line="580" w:lineRule="exact"/>
        <w:ind w:firstLine="600" w:firstLineChars="200"/>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根据国家《水法》《河道管理条例》和江苏省《河道管理条例》《湖泊保护条件》《水域保护办法》和《江苏省建设项目占用水域管理办法》（江苏省人民政府令第87号）和《盐城市河道管理办法》，经审核，本方案</w:t>
      </w:r>
      <w:r>
        <w:rPr>
          <w:rFonts w:hint="default" w:ascii="Times New Roman" w:hAnsi="Times New Roman" w:eastAsia="仿宋_GB2312" w:cs="Times New Roman"/>
          <w:color w:val="000000"/>
          <w:sz w:val="30"/>
          <w:szCs w:val="30"/>
          <w:lang w:val="en-US" w:eastAsia="zh-CN"/>
        </w:rPr>
        <w:t>不涉及</w:t>
      </w:r>
      <w:r>
        <w:rPr>
          <w:rFonts w:hint="default" w:ascii="Times New Roman" w:hAnsi="Times New Roman" w:eastAsia="仿宋_GB2312" w:cs="Times New Roman"/>
          <w:color w:val="000000"/>
          <w:sz w:val="30"/>
          <w:szCs w:val="30"/>
        </w:rPr>
        <w:t>省政府批准的《江苏省骨干河道名录》</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未涉及省政府批准的《江苏省湖泊保护名录》中的湖泊以及注册登记的水库。后期建设项目不可避免地占用水域的，严格按照《江苏省建设项目占用水域管理办法》（江苏省人民政府令第87号）</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保护生态、分类管理、严格控制、等效替代</w:t>
      </w:r>
      <w:r>
        <w:rPr>
          <w:rFonts w:hint="default" w:ascii="Times New Roman" w:hAnsi="Times New Roman" w:eastAsia="仿宋_GB2312" w:cs="Times New Roman"/>
          <w:color w:val="000000"/>
          <w:sz w:val="30"/>
          <w:szCs w:val="30"/>
          <w:lang w:eastAsia="zh-CN"/>
        </w:rPr>
        <w:t>”</w:t>
      </w:r>
      <w:r>
        <w:rPr>
          <w:rFonts w:hint="default" w:ascii="Times New Roman" w:hAnsi="Times New Roman" w:eastAsia="仿宋_GB2312" w:cs="Times New Roman"/>
          <w:color w:val="000000"/>
          <w:sz w:val="30"/>
          <w:szCs w:val="30"/>
        </w:rPr>
        <w:t>的原则由建设单位兴建等效替代水域工程。</w:t>
      </w:r>
    </w:p>
    <w:p w14:paraId="5485004F">
      <w:pPr>
        <w:keepNext w:val="0"/>
        <w:keepLines w:val="0"/>
        <w:pageBreakBefore w:val="0"/>
        <w:kinsoku/>
        <w:wordWrap/>
        <w:overflowPunct/>
        <w:topLinePunct w:val="0"/>
        <w:autoSpaceDE/>
        <w:autoSpaceDN/>
        <w:bidi w:val="0"/>
        <w:snapToGrid/>
        <w:spacing w:line="580" w:lineRule="exact"/>
        <w:ind w:firstLine="600"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方案不涉及经林业局审核过的优化整合前的风景名胜边界线、不涉及林业主管部门和自然资源主管部门均认定的国有林地、不涉及《江苏省建设用地土壤污染风险管控和修复名录》中的地块。</w:t>
      </w:r>
    </w:p>
    <w:p w14:paraId="53199670">
      <w:pPr>
        <w:keepNext w:val="0"/>
        <w:keepLines w:val="0"/>
        <w:pageBreakBefore w:val="0"/>
        <w:kinsoku/>
        <w:wordWrap/>
        <w:overflowPunct/>
        <w:topLinePunct w:val="0"/>
        <w:autoSpaceDE/>
        <w:autoSpaceDN/>
        <w:bidi w:val="0"/>
        <w:snapToGrid/>
        <w:spacing w:line="580" w:lineRule="exact"/>
        <w:ind w:firstLine="600" w:firstLineChars="200"/>
        <w:jc w:val="left"/>
        <w:rPr>
          <w:rFonts w:hint="default" w:ascii="Times New Roman" w:hAnsi="Times New Roman" w:eastAsia="仿宋_GB2312" w:cs="Times New Roman"/>
          <w:color w:val="000000"/>
          <w:sz w:val="30"/>
          <w:szCs w:val="30"/>
        </w:rPr>
      </w:pPr>
    </w:p>
    <w:p w14:paraId="7D9A0DFB">
      <w:pPr>
        <w:keepNext w:val="0"/>
        <w:keepLines w:val="0"/>
        <w:pageBreakBefore w:val="0"/>
        <w:kinsoku/>
        <w:wordWrap/>
        <w:overflowPunct/>
        <w:topLinePunct w:val="0"/>
        <w:autoSpaceDE/>
        <w:autoSpaceDN/>
        <w:bidi w:val="0"/>
        <w:snapToGrid/>
        <w:spacing w:line="580" w:lineRule="exact"/>
        <w:ind w:firstLine="602" w:firstLineChars="200"/>
        <w:jc w:val="left"/>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b/>
          <w:bCs/>
          <w:color w:val="000000"/>
          <w:sz w:val="30"/>
          <w:szCs w:val="30"/>
        </w:rPr>
        <w:t>附：</w:t>
      </w:r>
      <w:r>
        <w:rPr>
          <w:rFonts w:hint="default" w:ascii="Times New Roman" w:hAnsi="Times New Roman" w:eastAsia="仿宋_GB2312" w:cs="Times New Roman"/>
          <w:color w:val="000000"/>
          <w:sz w:val="30"/>
          <w:szCs w:val="30"/>
        </w:rPr>
        <w:t>《片区范围</w:t>
      </w:r>
      <w:r>
        <w:rPr>
          <w:rFonts w:hint="default" w:ascii="Times New Roman" w:hAnsi="Times New Roman" w:eastAsia="仿宋_GB2312" w:cs="Times New Roman"/>
          <w:color w:val="000000"/>
          <w:sz w:val="30"/>
          <w:szCs w:val="30"/>
          <w:lang w:val="en-US" w:eastAsia="zh-CN"/>
        </w:rPr>
        <w:t>调整</w:t>
      </w:r>
      <w:r>
        <w:rPr>
          <w:rFonts w:hint="default" w:ascii="Times New Roman" w:hAnsi="Times New Roman" w:eastAsia="仿宋_GB2312" w:cs="Times New Roman"/>
          <w:color w:val="000000"/>
          <w:sz w:val="30"/>
          <w:szCs w:val="30"/>
        </w:rPr>
        <w:t>示意图》《片区土地规划用途分类图》</w:t>
      </w:r>
    </w:p>
    <w:p w14:paraId="6601AE68">
      <w:pPr>
        <w:widowControl/>
        <w:jc w:val="lef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br w:type="page"/>
      </w:r>
    </w:p>
    <w:p w14:paraId="63B1E5A9">
      <w:pPr>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上冈新城公园北侧片区（CP320925-2021-01-11）</w:t>
      </w:r>
    </w:p>
    <w:p w14:paraId="721785F5">
      <w:pPr>
        <w:jc w:val="center"/>
        <w:rPr>
          <w:rFonts w:hint="default" w:ascii="Times New Roman" w:hAnsi="Times New Roman" w:eastAsia="仿宋_GB2312" w:cs="Times New Roman"/>
          <w:sz w:val="30"/>
          <w:szCs w:val="30"/>
        </w:rPr>
      </w:pPr>
      <w:r>
        <w:rPr>
          <w:rFonts w:hint="default" w:ascii="Times New Roman" w:hAnsi="Times New Roman" w:eastAsia="仿宋_GB2312" w:cs="Times New Roman"/>
          <w:color w:val="000000"/>
          <w:sz w:val="30"/>
          <w:szCs w:val="30"/>
        </w:rPr>
        <w:t>片区范围</w:t>
      </w:r>
      <w:r>
        <w:rPr>
          <w:rFonts w:hint="default" w:ascii="Times New Roman" w:hAnsi="Times New Roman" w:eastAsia="仿宋_GB2312" w:cs="Times New Roman"/>
          <w:color w:val="000000"/>
          <w:sz w:val="30"/>
          <w:szCs w:val="30"/>
          <w:lang w:val="en-US" w:eastAsia="zh-CN"/>
        </w:rPr>
        <w:t>调整</w:t>
      </w:r>
      <w:r>
        <w:rPr>
          <w:rFonts w:hint="default" w:ascii="Times New Roman" w:hAnsi="Times New Roman" w:eastAsia="仿宋_GB2312" w:cs="Times New Roman"/>
          <w:color w:val="000000"/>
          <w:sz w:val="30"/>
          <w:szCs w:val="30"/>
        </w:rPr>
        <w:t>示意图</w:t>
      </w:r>
    </w:p>
    <w:p w14:paraId="71AA14EF">
      <w:pPr>
        <w:jc w:val="cente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drawing>
          <wp:inline distT="0" distB="0" distL="114300" distR="114300">
            <wp:extent cx="4953000" cy="3502660"/>
            <wp:effectExtent l="0" t="0" r="0" b="2540"/>
            <wp:docPr id="4" name="图片 4" descr="CP320925-2021-01-11（现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P320925-2021-01-11（现状）"/>
                    <pic:cNvPicPr>
                      <a:picLocks noChangeAspect="1"/>
                    </pic:cNvPicPr>
                  </pic:nvPicPr>
                  <pic:blipFill>
                    <a:blip r:embed="rId5"/>
                    <a:stretch>
                      <a:fillRect/>
                    </a:stretch>
                  </pic:blipFill>
                  <pic:spPr>
                    <a:xfrm>
                      <a:off x="0" y="0"/>
                      <a:ext cx="4953000" cy="3502660"/>
                    </a:xfrm>
                    <a:prstGeom prst="rect">
                      <a:avLst/>
                    </a:prstGeom>
                  </pic:spPr>
                </pic:pic>
              </a:graphicData>
            </a:graphic>
          </wp:inline>
        </w:drawing>
      </w:r>
    </w:p>
    <w:p w14:paraId="7B8966FD">
      <w:pPr>
        <w:jc w:val="cente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color w:val="000000"/>
          <w:sz w:val="30"/>
          <w:szCs w:val="30"/>
        </w:rPr>
        <w:t>片区土地规划用途分类图</w:t>
      </w:r>
      <w:r>
        <w:rPr>
          <w:rFonts w:hint="default" w:ascii="Times New Roman" w:hAnsi="Times New Roman" w:eastAsia="仿宋_GB2312" w:cs="Times New Roman"/>
          <w:sz w:val="30"/>
          <w:szCs w:val="30"/>
          <w:lang w:eastAsia="zh-CN"/>
        </w:rPr>
        <w:drawing>
          <wp:inline distT="0" distB="0" distL="114300" distR="114300">
            <wp:extent cx="4884420" cy="3454400"/>
            <wp:effectExtent l="0" t="0" r="7620" b="5080"/>
            <wp:docPr id="9" name="图片 9" descr="CP320925-2021-01-11（规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P320925-2021-01-11（规划）"/>
                    <pic:cNvPicPr>
                      <a:picLocks noChangeAspect="1"/>
                    </pic:cNvPicPr>
                  </pic:nvPicPr>
                  <pic:blipFill>
                    <a:blip r:embed="rId6"/>
                    <a:stretch>
                      <a:fillRect/>
                    </a:stretch>
                  </pic:blipFill>
                  <pic:spPr>
                    <a:xfrm>
                      <a:off x="0" y="0"/>
                      <a:ext cx="4884420" cy="3454400"/>
                    </a:xfrm>
                    <a:prstGeom prst="rect">
                      <a:avLst/>
                    </a:prstGeom>
                  </pic:spPr>
                </pic:pic>
              </a:graphicData>
            </a:graphic>
          </wp:inline>
        </w:drawing>
      </w:r>
    </w:p>
    <w:p w14:paraId="255E4A3B">
      <w:pPr>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上冈新城公园南侧片区（CP320925-2021-01-1</w:t>
      </w:r>
      <w:r>
        <w:rPr>
          <w:rFonts w:hint="default" w:ascii="Times New Roman" w:hAnsi="Times New Roman" w:eastAsia="仿宋_GB2312" w:cs="Times New Roman"/>
          <w:b/>
          <w:bCs/>
          <w:color w:val="000000"/>
          <w:sz w:val="30"/>
          <w:szCs w:val="30"/>
          <w:lang w:val="en-US" w:eastAsia="zh-CN"/>
        </w:rPr>
        <w:t>2</w:t>
      </w:r>
      <w:r>
        <w:rPr>
          <w:rFonts w:hint="default" w:ascii="Times New Roman" w:hAnsi="Times New Roman" w:eastAsia="仿宋_GB2312" w:cs="Times New Roman"/>
          <w:b/>
          <w:bCs/>
          <w:color w:val="000000"/>
          <w:sz w:val="30"/>
          <w:szCs w:val="30"/>
        </w:rPr>
        <w:t>）</w:t>
      </w:r>
    </w:p>
    <w:p w14:paraId="66D7A4D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color w:val="000000"/>
          <w:sz w:val="30"/>
          <w:szCs w:val="30"/>
        </w:rPr>
        <w:t>片区范围</w:t>
      </w:r>
      <w:r>
        <w:rPr>
          <w:rFonts w:hint="default" w:ascii="Times New Roman" w:hAnsi="Times New Roman" w:eastAsia="仿宋_GB2312" w:cs="Times New Roman"/>
          <w:color w:val="000000"/>
          <w:sz w:val="30"/>
          <w:szCs w:val="30"/>
          <w:lang w:val="en-US" w:eastAsia="zh-CN"/>
        </w:rPr>
        <w:t>调整</w:t>
      </w:r>
      <w:r>
        <w:rPr>
          <w:rFonts w:hint="default" w:ascii="Times New Roman" w:hAnsi="Times New Roman" w:eastAsia="仿宋_GB2312" w:cs="Times New Roman"/>
          <w:color w:val="000000"/>
          <w:sz w:val="30"/>
          <w:szCs w:val="30"/>
        </w:rPr>
        <w:t>示意图</w:t>
      </w:r>
    </w:p>
    <w:p w14:paraId="6ADFDA14">
      <w:pPr>
        <w:jc w:val="cente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drawing>
          <wp:inline distT="0" distB="0" distL="114300" distR="114300">
            <wp:extent cx="4787265" cy="3385820"/>
            <wp:effectExtent l="0" t="0" r="13335" b="12700"/>
            <wp:docPr id="18" name="图片 18" descr="CP320925-2021-01-12（现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P320925-2021-01-12（现状）"/>
                    <pic:cNvPicPr>
                      <a:picLocks noChangeAspect="1"/>
                    </pic:cNvPicPr>
                  </pic:nvPicPr>
                  <pic:blipFill>
                    <a:blip r:embed="rId7"/>
                    <a:stretch>
                      <a:fillRect/>
                    </a:stretch>
                  </pic:blipFill>
                  <pic:spPr>
                    <a:xfrm>
                      <a:off x="0" y="0"/>
                      <a:ext cx="4787265" cy="3385820"/>
                    </a:xfrm>
                    <a:prstGeom prst="rect">
                      <a:avLst/>
                    </a:prstGeom>
                  </pic:spPr>
                </pic:pic>
              </a:graphicData>
            </a:graphic>
          </wp:inline>
        </w:drawing>
      </w:r>
    </w:p>
    <w:p w14:paraId="2E097EA1">
      <w:pPr>
        <w:pStyle w:val="2"/>
        <w:jc w:val="cente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color w:val="000000"/>
          <w:sz w:val="30"/>
          <w:szCs w:val="30"/>
        </w:rPr>
        <w:t>片区土地规划用途分类图</w:t>
      </w:r>
      <w:r>
        <w:rPr>
          <w:rFonts w:hint="default" w:ascii="Times New Roman" w:hAnsi="Times New Roman" w:eastAsia="仿宋_GB2312" w:cs="Times New Roman"/>
          <w:sz w:val="30"/>
          <w:szCs w:val="30"/>
          <w:lang w:eastAsia="zh-CN"/>
        </w:rPr>
        <w:drawing>
          <wp:inline distT="0" distB="0" distL="114300" distR="114300">
            <wp:extent cx="4789805" cy="3387725"/>
            <wp:effectExtent l="0" t="0" r="10795" b="3175"/>
            <wp:docPr id="19" name="图片 19" descr="CP320925-2021-01-12（规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P320925-2021-01-12（规划）"/>
                    <pic:cNvPicPr>
                      <a:picLocks noChangeAspect="1"/>
                    </pic:cNvPicPr>
                  </pic:nvPicPr>
                  <pic:blipFill>
                    <a:blip r:embed="rId8"/>
                    <a:stretch>
                      <a:fillRect/>
                    </a:stretch>
                  </pic:blipFill>
                  <pic:spPr>
                    <a:xfrm>
                      <a:off x="0" y="0"/>
                      <a:ext cx="4789805" cy="3387725"/>
                    </a:xfrm>
                    <a:prstGeom prst="rect">
                      <a:avLst/>
                    </a:prstGeom>
                  </pic:spPr>
                </pic:pic>
              </a:graphicData>
            </a:graphic>
          </wp:inline>
        </w:drawing>
      </w:r>
    </w:p>
    <w:p w14:paraId="1E412E5B">
      <w:pPr>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上冈新城北部片区（CP320925-2022-01-01）</w:t>
      </w:r>
    </w:p>
    <w:p w14:paraId="55426951">
      <w:pPr>
        <w:jc w:val="center"/>
        <w:rPr>
          <w:rFonts w:hint="default" w:ascii="Times New Roman" w:hAnsi="Times New Roman" w:eastAsia="仿宋_GB2312" w:cs="Times New Roman"/>
          <w:sz w:val="30"/>
          <w:szCs w:val="30"/>
        </w:rPr>
      </w:pPr>
      <w:r>
        <w:rPr>
          <w:rFonts w:hint="default" w:ascii="Times New Roman" w:hAnsi="Times New Roman" w:eastAsia="仿宋_GB2312" w:cs="Times New Roman"/>
          <w:color w:val="000000"/>
          <w:sz w:val="30"/>
          <w:szCs w:val="30"/>
        </w:rPr>
        <w:t>片区范围</w:t>
      </w:r>
      <w:r>
        <w:rPr>
          <w:rFonts w:hint="default" w:ascii="Times New Roman" w:hAnsi="Times New Roman" w:eastAsia="仿宋_GB2312" w:cs="Times New Roman"/>
          <w:color w:val="000000"/>
          <w:sz w:val="30"/>
          <w:szCs w:val="30"/>
          <w:lang w:val="en-US" w:eastAsia="zh-CN"/>
        </w:rPr>
        <w:t>调整</w:t>
      </w:r>
      <w:r>
        <w:rPr>
          <w:rFonts w:hint="default" w:ascii="Times New Roman" w:hAnsi="Times New Roman" w:eastAsia="仿宋_GB2312" w:cs="Times New Roman"/>
          <w:color w:val="000000"/>
          <w:sz w:val="30"/>
          <w:szCs w:val="30"/>
        </w:rPr>
        <w:t>示意图</w:t>
      </w:r>
    </w:p>
    <w:p w14:paraId="6689AD42">
      <w:pPr>
        <w:jc w:val="cente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drawing>
          <wp:inline distT="0" distB="0" distL="114300" distR="114300">
            <wp:extent cx="4868545" cy="3442970"/>
            <wp:effectExtent l="0" t="0" r="8255" b="1270"/>
            <wp:docPr id="20" name="图片 20" descr="CP320925-2022-01-01（现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P320925-2022-01-01（现状）"/>
                    <pic:cNvPicPr>
                      <a:picLocks noChangeAspect="1"/>
                    </pic:cNvPicPr>
                  </pic:nvPicPr>
                  <pic:blipFill>
                    <a:blip r:embed="rId9"/>
                    <a:stretch>
                      <a:fillRect/>
                    </a:stretch>
                  </pic:blipFill>
                  <pic:spPr>
                    <a:xfrm>
                      <a:off x="0" y="0"/>
                      <a:ext cx="4868545" cy="3442970"/>
                    </a:xfrm>
                    <a:prstGeom prst="rect">
                      <a:avLst/>
                    </a:prstGeom>
                  </pic:spPr>
                </pic:pic>
              </a:graphicData>
            </a:graphic>
          </wp:inline>
        </w:drawing>
      </w:r>
    </w:p>
    <w:p w14:paraId="0FA7D47E">
      <w:pPr>
        <w:pStyle w:val="2"/>
        <w:jc w:val="center"/>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片区土地规划用途分类图</w:t>
      </w:r>
    </w:p>
    <w:p w14:paraId="73D4917D">
      <w:pPr>
        <w:pStyle w:val="2"/>
        <w:jc w:val="cente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drawing>
          <wp:inline distT="0" distB="0" distL="114300" distR="114300">
            <wp:extent cx="4892040" cy="3459480"/>
            <wp:effectExtent l="0" t="0" r="0" b="0"/>
            <wp:docPr id="21" name="图片 21" descr="CP320925-2022-01-01（规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P320925-2022-01-01（规划）"/>
                    <pic:cNvPicPr>
                      <a:picLocks noChangeAspect="1"/>
                    </pic:cNvPicPr>
                  </pic:nvPicPr>
                  <pic:blipFill>
                    <a:blip r:embed="rId10"/>
                    <a:stretch>
                      <a:fillRect/>
                    </a:stretch>
                  </pic:blipFill>
                  <pic:spPr>
                    <a:xfrm>
                      <a:off x="0" y="0"/>
                      <a:ext cx="4892040" cy="3459480"/>
                    </a:xfrm>
                    <a:prstGeom prst="rect">
                      <a:avLst/>
                    </a:prstGeom>
                  </pic:spPr>
                </pic:pic>
              </a:graphicData>
            </a:graphic>
          </wp:inline>
        </w:drawing>
      </w:r>
    </w:p>
    <w:p w14:paraId="30425887">
      <w:pPr>
        <w:rPr>
          <w:rFonts w:hint="default" w:ascii="Times New Roman" w:hAnsi="Times New Roman" w:eastAsia="仿宋_GB2312" w:cs="Times New Roman"/>
          <w:b/>
          <w:bCs/>
          <w:color w:val="000000"/>
          <w:sz w:val="30"/>
          <w:szCs w:val="30"/>
        </w:rPr>
      </w:pPr>
      <w:r>
        <w:rPr>
          <w:rFonts w:hint="default" w:ascii="Times New Roman" w:hAnsi="Times New Roman" w:eastAsia="仿宋_GB2312" w:cs="Times New Roman"/>
          <w:b/>
          <w:bCs/>
          <w:color w:val="000000"/>
          <w:sz w:val="30"/>
          <w:szCs w:val="30"/>
        </w:rPr>
        <w:t>新城中部片区（CP320925-2023-01-08）</w:t>
      </w:r>
    </w:p>
    <w:p w14:paraId="3DFDCF74">
      <w:pPr>
        <w:jc w:val="center"/>
        <w:rPr>
          <w:rFonts w:hint="default" w:ascii="Times New Roman" w:hAnsi="Times New Roman" w:eastAsia="仿宋_GB2312" w:cs="Times New Roman"/>
          <w:sz w:val="30"/>
          <w:szCs w:val="30"/>
        </w:rPr>
      </w:pPr>
      <w:r>
        <w:rPr>
          <w:rFonts w:hint="default" w:ascii="Times New Roman" w:hAnsi="Times New Roman" w:eastAsia="仿宋_GB2312" w:cs="Times New Roman"/>
          <w:color w:val="000000"/>
          <w:sz w:val="30"/>
          <w:szCs w:val="30"/>
        </w:rPr>
        <w:t>片区范围</w:t>
      </w:r>
      <w:r>
        <w:rPr>
          <w:rFonts w:hint="default" w:ascii="Times New Roman" w:hAnsi="Times New Roman" w:eastAsia="仿宋_GB2312" w:cs="Times New Roman"/>
          <w:color w:val="000000"/>
          <w:sz w:val="30"/>
          <w:szCs w:val="30"/>
          <w:lang w:val="en-US" w:eastAsia="zh-CN"/>
        </w:rPr>
        <w:t>调整</w:t>
      </w:r>
      <w:r>
        <w:rPr>
          <w:rFonts w:hint="default" w:ascii="Times New Roman" w:hAnsi="Times New Roman" w:eastAsia="仿宋_GB2312" w:cs="Times New Roman"/>
          <w:color w:val="000000"/>
          <w:sz w:val="30"/>
          <w:szCs w:val="30"/>
        </w:rPr>
        <w:t>示意图</w:t>
      </w:r>
    </w:p>
    <w:p w14:paraId="79FD7D49">
      <w:pPr>
        <w:jc w:val="cente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drawing>
          <wp:inline distT="0" distB="0" distL="114300" distR="114300">
            <wp:extent cx="4975225" cy="3518535"/>
            <wp:effectExtent l="0" t="0" r="8255" b="1905"/>
            <wp:docPr id="24" name="图片 24" descr="CP320925-2023-01-08（现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P320925-2023-01-08（现状）"/>
                    <pic:cNvPicPr>
                      <a:picLocks noChangeAspect="1"/>
                    </pic:cNvPicPr>
                  </pic:nvPicPr>
                  <pic:blipFill>
                    <a:blip r:embed="rId11"/>
                    <a:stretch>
                      <a:fillRect/>
                    </a:stretch>
                  </pic:blipFill>
                  <pic:spPr>
                    <a:xfrm>
                      <a:off x="0" y="0"/>
                      <a:ext cx="4975225" cy="3518535"/>
                    </a:xfrm>
                    <a:prstGeom prst="rect">
                      <a:avLst/>
                    </a:prstGeom>
                  </pic:spPr>
                </pic:pic>
              </a:graphicData>
            </a:graphic>
          </wp:inline>
        </w:drawing>
      </w:r>
    </w:p>
    <w:p w14:paraId="28D6C51B">
      <w:pPr>
        <w:pStyle w:val="2"/>
        <w:jc w:val="center"/>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片区土地规划用途分类图</w:t>
      </w:r>
    </w:p>
    <w:p w14:paraId="0A8A7776">
      <w:pPr>
        <w:jc w:val="center"/>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drawing>
          <wp:inline distT="0" distB="0" distL="114300" distR="114300">
            <wp:extent cx="4998720" cy="3535045"/>
            <wp:effectExtent l="0" t="0" r="0" b="635"/>
            <wp:docPr id="25" name="图片 25" descr="CP320925-2023-01-08（规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P320925-2023-01-08（规划）"/>
                    <pic:cNvPicPr>
                      <a:picLocks noChangeAspect="1"/>
                    </pic:cNvPicPr>
                  </pic:nvPicPr>
                  <pic:blipFill>
                    <a:blip r:embed="rId12"/>
                    <a:stretch>
                      <a:fillRect/>
                    </a:stretch>
                  </pic:blipFill>
                  <pic:spPr>
                    <a:xfrm>
                      <a:off x="0" y="0"/>
                      <a:ext cx="4998720" cy="3535045"/>
                    </a:xfrm>
                    <a:prstGeom prst="rect">
                      <a:avLst/>
                    </a:prstGeom>
                  </pic:spPr>
                </pic:pic>
              </a:graphicData>
            </a:graphic>
          </wp:inline>
        </w:drawing>
      </w:r>
      <w:bookmarkStart w:id="0" w:name="_GoBack"/>
      <w:bookmarkEnd w:id="0"/>
    </w:p>
    <w:sectPr>
      <w:pgSz w:w="11906" w:h="16838"/>
      <w:pgMar w:top="2268" w:right="1417" w:bottom="1134" w:left="141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6281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675D2">
                          <w:pPr>
                            <w:pStyle w:val="6"/>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color w:val="auto"/>
                              <w:sz w:val="24"/>
                              <w:szCs w:val="24"/>
                            </w:rPr>
                            <w:instrText xml:space="preserve"> PAGE  \* MERGEFORMAT </w:instrText>
                          </w:r>
                          <w:r>
                            <w:rPr>
                              <w:rFonts w:hint="eastAsia" w:asciiTheme="minorEastAsia" w:hAnsiTheme="minorEastAsia" w:eastAsiaTheme="minorEastAsia" w:cstheme="minorEastAsia"/>
                              <w:color w:val="auto"/>
                              <w:sz w:val="24"/>
                              <w:szCs w:val="24"/>
                            </w:rPr>
                            <w:fldChar w:fldCharType="separate"/>
                          </w:r>
                          <w:r>
                            <w:rPr>
                              <w:rFonts w:hint="eastAsia" w:asciiTheme="minorEastAsia" w:hAnsiTheme="minorEastAsia" w:eastAsiaTheme="minorEastAsia" w:cstheme="minorEastAsia"/>
                              <w:color w:val="auto"/>
                              <w:sz w:val="24"/>
                              <w:szCs w:val="24"/>
                            </w:rPr>
                            <w:t>- 1 -</w:t>
                          </w:r>
                          <w:r>
                            <w:rPr>
                              <w:rFonts w:hint="eastAsia" w:asciiTheme="minorEastAsia" w:hAnsiTheme="minorEastAsia" w:eastAsiaTheme="minorEastAsia" w:cstheme="minorEastAsia"/>
                              <w:color w:val="auto"/>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6A675D2">
                    <w:pPr>
                      <w:pStyle w:val="6"/>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color w:val="auto"/>
                        <w:sz w:val="24"/>
                        <w:szCs w:val="24"/>
                      </w:rPr>
                      <w:instrText xml:space="preserve"> PAGE  \* MERGEFORMAT </w:instrText>
                    </w:r>
                    <w:r>
                      <w:rPr>
                        <w:rFonts w:hint="eastAsia" w:asciiTheme="minorEastAsia" w:hAnsiTheme="minorEastAsia" w:eastAsiaTheme="minorEastAsia" w:cstheme="minorEastAsia"/>
                        <w:color w:val="auto"/>
                        <w:sz w:val="24"/>
                        <w:szCs w:val="24"/>
                      </w:rPr>
                      <w:fldChar w:fldCharType="separate"/>
                    </w:r>
                    <w:r>
                      <w:rPr>
                        <w:rFonts w:hint="eastAsia" w:asciiTheme="minorEastAsia" w:hAnsiTheme="minorEastAsia" w:eastAsiaTheme="minorEastAsia" w:cstheme="minorEastAsia"/>
                        <w:color w:val="auto"/>
                        <w:sz w:val="24"/>
                        <w:szCs w:val="24"/>
                      </w:rPr>
                      <w:t>- 1 -</w:t>
                    </w:r>
                    <w:r>
                      <w:rPr>
                        <w:rFonts w:hint="eastAsia" w:asciiTheme="minorEastAsia" w:hAnsiTheme="minorEastAsia" w:eastAsiaTheme="minorEastAsia" w:cstheme="minorEastAsia"/>
                        <w:color w:val="auto"/>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1NzhhYTMzYTBlN2E5Njk1NjBiMGUzZDdmNmJkNmUifQ=="/>
  </w:docVars>
  <w:rsids>
    <w:rsidRoot w:val="004E6DBB"/>
    <w:rsid w:val="00020EAF"/>
    <w:rsid w:val="00032158"/>
    <w:rsid w:val="00060E05"/>
    <w:rsid w:val="00075477"/>
    <w:rsid w:val="000926AB"/>
    <w:rsid w:val="000F68FD"/>
    <w:rsid w:val="00186296"/>
    <w:rsid w:val="001A3EB1"/>
    <w:rsid w:val="00212F4C"/>
    <w:rsid w:val="002357F2"/>
    <w:rsid w:val="00240478"/>
    <w:rsid w:val="00281E35"/>
    <w:rsid w:val="0028266C"/>
    <w:rsid w:val="0029643E"/>
    <w:rsid w:val="00302693"/>
    <w:rsid w:val="003500C3"/>
    <w:rsid w:val="003B25D1"/>
    <w:rsid w:val="00477B42"/>
    <w:rsid w:val="00482A14"/>
    <w:rsid w:val="004C0DDB"/>
    <w:rsid w:val="004C5E46"/>
    <w:rsid w:val="004E6DBB"/>
    <w:rsid w:val="00523A64"/>
    <w:rsid w:val="00563094"/>
    <w:rsid w:val="005716E1"/>
    <w:rsid w:val="005955E8"/>
    <w:rsid w:val="00595635"/>
    <w:rsid w:val="005C2A3C"/>
    <w:rsid w:val="00654338"/>
    <w:rsid w:val="0068720F"/>
    <w:rsid w:val="006E62B3"/>
    <w:rsid w:val="007062AA"/>
    <w:rsid w:val="00737F47"/>
    <w:rsid w:val="007B77FF"/>
    <w:rsid w:val="007E67A1"/>
    <w:rsid w:val="007E7D8F"/>
    <w:rsid w:val="007F6D12"/>
    <w:rsid w:val="00813735"/>
    <w:rsid w:val="00822C67"/>
    <w:rsid w:val="008474EA"/>
    <w:rsid w:val="00877139"/>
    <w:rsid w:val="008A018F"/>
    <w:rsid w:val="008D138C"/>
    <w:rsid w:val="00954DD3"/>
    <w:rsid w:val="009C5391"/>
    <w:rsid w:val="00A35447"/>
    <w:rsid w:val="00A477DC"/>
    <w:rsid w:val="00AA2832"/>
    <w:rsid w:val="00AB199D"/>
    <w:rsid w:val="00B328E0"/>
    <w:rsid w:val="00B9350B"/>
    <w:rsid w:val="00B93861"/>
    <w:rsid w:val="00C04720"/>
    <w:rsid w:val="00C14199"/>
    <w:rsid w:val="00C61B4B"/>
    <w:rsid w:val="00C74630"/>
    <w:rsid w:val="00CE202E"/>
    <w:rsid w:val="00D62CC2"/>
    <w:rsid w:val="00D80DB6"/>
    <w:rsid w:val="00E314B0"/>
    <w:rsid w:val="00EC5221"/>
    <w:rsid w:val="00EE0EF2"/>
    <w:rsid w:val="00EE15A4"/>
    <w:rsid w:val="00F1001D"/>
    <w:rsid w:val="00F72EFE"/>
    <w:rsid w:val="00FA6538"/>
    <w:rsid w:val="00FC180D"/>
    <w:rsid w:val="00FD520B"/>
    <w:rsid w:val="014300C6"/>
    <w:rsid w:val="02FE20CD"/>
    <w:rsid w:val="048D5E7C"/>
    <w:rsid w:val="05513C63"/>
    <w:rsid w:val="05E214B3"/>
    <w:rsid w:val="070C27EB"/>
    <w:rsid w:val="071D0E18"/>
    <w:rsid w:val="07545496"/>
    <w:rsid w:val="075C5485"/>
    <w:rsid w:val="081D61CF"/>
    <w:rsid w:val="08922B4F"/>
    <w:rsid w:val="08E70A70"/>
    <w:rsid w:val="09387FF6"/>
    <w:rsid w:val="09882D30"/>
    <w:rsid w:val="09AA3B39"/>
    <w:rsid w:val="09B403C7"/>
    <w:rsid w:val="09E82A78"/>
    <w:rsid w:val="0A3E47DB"/>
    <w:rsid w:val="0B044E3D"/>
    <w:rsid w:val="0C512EB4"/>
    <w:rsid w:val="0C963536"/>
    <w:rsid w:val="0CBA3508"/>
    <w:rsid w:val="0D344BB7"/>
    <w:rsid w:val="0D6945E7"/>
    <w:rsid w:val="0DEE2883"/>
    <w:rsid w:val="0E6A4ABA"/>
    <w:rsid w:val="0E826303"/>
    <w:rsid w:val="0F7B2C92"/>
    <w:rsid w:val="10917BAC"/>
    <w:rsid w:val="10ED7D21"/>
    <w:rsid w:val="12DD362A"/>
    <w:rsid w:val="12F6691D"/>
    <w:rsid w:val="14D7452C"/>
    <w:rsid w:val="15746FB0"/>
    <w:rsid w:val="15A438D2"/>
    <w:rsid w:val="173278A4"/>
    <w:rsid w:val="17572F29"/>
    <w:rsid w:val="178D73EF"/>
    <w:rsid w:val="17D82A95"/>
    <w:rsid w:val="183537FF"/>
    <w:rsid w:val="187A71F7"/>
    <w:rsid w:val="188A0ECB"/>
    <w:rsid w:val="18BF541C"/>
    <w:rsid w:val="1905563B"/>
    <w:rsid w:val="195B44D7"/>
    <w:rsid w:val="19A53061"/>
    <w:rsid w:val="19CF1C75"/>
    <w:rsid w:val="1A4F3D7B"/>
    <w:rsid w:val="1AAA773A"/>
    <w:rsid w:val="1ACB068F"/>
    <w:rsid w:val="1B6614F9"/>
    <w:rsid w:val="1BB8186F"/>
    <w:rsid w:val="1C6C4030"/>
    <w:rsid w:val="1C9A4209"/>
    <w:rsid w:val="1CAB579A"/>
    <w:rsid w:val="1DA63433"/>
    <w:rsid w:val="1E0B734B"/>
    <w:rsid w:val="1F3542EC"/>
    <w:rsid w:val="1FBE5A00"/>
    <w:rsid w:val="20EC54CE"/>
    <w:rsid w:val="21AC482F"/>
    <w:rsid w:val="21C5052E"/>
    <w:rsid w:val="221C0D26"/>
    <w:rsid w:val="221E1931"/>
    <w:rsid w:val="22ED0CD3"/>
    <w:rsid w:val="23476D20"/>
    <w:rsid w:val="239D550E"/>
    <w:rsid w:val="23C171AC"/>
    <w:rsid w:val="245F7739"/>
    <w:rsid w:val="247F2426"/>
    <w:rsid w:val="254223D1"/>
    <w:rsid w:val="26CC1DCB"/>
    <w:rsid w:val="271B2BE2"/>
    <w:rsid w:val="27310CCF"/>
    <w:rsid w:val="27A14EF6"/>
    <w:rsid w:val="28005C30"/>
    <w:rsid w:val="28651882"/>
    <w:rsid w:val="2952705E"/>
    <w:rsid w:val="2AC46C1E"/>
    <w:rsid w:val="2AFC6642"/>
    <w:rsid w:val="2BEB3A2A"/>
    <w:rsid w:val="2C370175"/>
    <w:rsid w:val="2C5A3F68"/>
    <w:rsid w:val="2C8405FA"/>
    <w:rsid w:val="2CB646A1"/>
    <w:rsid w:val="2DA51AF4"/>
    <w:rsid w:val="2F207E9E"/>
    <w:rsid w:val="30E468C3"/>
    <w:rsid w:val="30F524B2"/>
    <w:rsid w:val="31147F2E"/>
    <w:rsid w:val="313A6116"/>
    <w:rsid w:val="31CD20C4"/>
    <w:rsid w:val="31DA1875"/>
    <w:rsid w:val="32DD72BC"/>
    <w:rsid w:val="33A167C4"/>
    <w:rsid w:val="349D0FDC"/>
    <w:rsid w:val="35057C16"/>
    <w:rsid w:val="350C26F9"/>
    <w:rsid w:val="358C3655"/>
    <w:rsid w:val="35FA329F"/>
    <w:rsid w:val="364B1D96"/>
    <w:rsid w:val="369F4EC6"/>
    <w:rsid w:val="372D1882"/>
    <w:rsid w:val="37594A5F"/>
    <w:rsid w:val="3785724C"/>
    <w:rsid w:val="3855642C"/>
    <w:rsid w:val="38CE0414"/>
    <w:rsid w:val="39432973"/>
    <w:rsid w:val="39776335"/>
    <w:rsid w:val="3AE40427"/>
    <w:rsid w:val="3B7B35B3"/>
    <w:rsid w:val="3BC93148"/>
    <w:rsid w:val="3BCB1451"/>
    <w:rsid w:val="3BD3566E"/>
    <w:rsid w:val="3BF83B67"/>
    <w:rsid w:val="3C5A58BF"/>
    <w:rsid w:val="3CAB31B0"/>
    <w:rsid w:val="3E2E57B5"/>
    <w:rsid w:val="3E75253C"/>
    <w:rsid w:val="3F37192F"/>
    <w:rsid w:val="40293026"/>
    <w:rsid w:val="40650427"/>
    <w:rsid w:val="408F1FDB"/>
    <w:rsid w:val="412E5D81"/>
    <w:rsid w:val="41677637"/>
    <w:rsid w:val="419908B0"/>
    <w:rsid w:val="41E00614"/>
    <w:rsid w:val="42122973"/>
    <w:rsid w:val="421A72C0"/>
    <w:rsid w:val="42707BEA"/>
    <w:rsid w:val="42B4654F"/>
    <w:rsid w:val="431C38CE"/>
    <w:rsid w:val="435C2B2D"/>
    <w:rsid w:val="43650DD1"/>
    <w:rsid w:val="43754D8C"/>
    <w:rsid w:val="43893FEF"/>
    <w:rsid w:val="43E50164"/>
    <w:rsid w:val="44BD69EB"/>
    <w:rsid w:val="44F322B4"/>
    <w:rsid w:val="44FF1E8B"/>
    <w:rsid w:val="45284796"/>
    <w:rsid w:val="455F4FF4"/>
    <w:rsid w:val="45BF0BE7"/>
    <w:rsid w:val="45C801FC"/>
    <w:rsid w:val="46071AE7"/>
    <w:rsid w:val="473C55AB"/>
    <w:rsid w:val="47A71944"/>
    <w:rsid w:val="48A6351E"/>
    <w:rsid w:val="48A940FB"/>
    <w:rsid w:val="49E8450A"/>
    <w:rsid w:val="4A0A0505"/>
    <w:rsid w:val="4B1D7825"/>
    <w:rsid w:val="4D405DB9"/>
    <w:rsid w:val="4E3A58E0"/>
    <w:rsid w:val="4E4132C0"/>
    <w:rsid w:val="50320EBB"/>
    <w:rsid w:val="50AF46AC"/>
    <w:rsid w:val="50F85063"/>
    <w:rsid w:val="5203269D"/>
    <w:rsid w:val="555D32F2"/>
    <w:rsid w:val="564F54C8"/>
    <w:rsid w:val="56582A17"/>
    <w:rsid w:val="56FA0702"/>
    <w:rsid w:val="57CA3C18"/>
    <w:rsid w:val="57D05A67"/>
    <w:rsid w:val="584E5E80"/>
    <w:rsid w:val="591C2D26"/>
    <w:rsid w:val="5A2A2E87"/>
    <w:rsid w:val="5A532F10"/>
    <w:rsid w:val="5AAB60F3"/>
    <w:rsid w:val="5AD26771"/>
    <w:rsid w:val="5BB15A9E"/>
    <w:rsid w:val="5D8B36D2"/>
    <w:rsid w:val="5E153A69"/>
    <w:rsid w:val="5E1A28AD"/>
    <w:rsid w:val="5E564127"/>
    <w:rsid w:val="5E787F5E"/>
    <w:rsid w:val="5E9936EF"/>
    <w:rsid w:val="5F7A3B38"/>
    <w:rsid w:val="5F9E76ED"/>
    <w:rsid w:val="60204DC3"/>
    <w:rsid w:val="61700A27"/>
    <w:rsid w:val="62116B1B"/>
    <w:rsid w:val="62225E76"/>
    <w:rsid w:val="63B800CB"/>
    <w:rsid w:val="63BD7755"/>
    <w:rsid w:val="641F2B1B"/>
    <w:rsid w:val="64C77FFE"/>
    <w:rsid w:val="64DF3E13"/>
    <w:rsid w:val="656059AE"/>
    <w:rsid w:val="65FF7DC6"/>
    <w:rsid w:val="66262100"/>
    <w:rsid w:val="67CB74FC"/>
    <w:rsid w:val="67D86FC6"/>
    <w:rsid w:val="68597B47"/>
    <w:rsid w:val="68D3502F"/>
    <w:rsid w:val="6958120F"/>
    <w:rsid w:val="69BA5FE2"/>
    <w:rsid w:val="69CE1759"/>
    <w:rsid w:val="6A4C040B"/>
    <w:rsid w:val="6ADF4F57"/>
    <w:rsid w:val="6B5B46E4"/>
    <w:rsid w:val="6B781790"/>
    <w:rsid w:val="6C0F54CE"/>
    <w:rsid w:val="6C454CFB"/>
    <w:rsid w:val="6C880292"/>
    <w:rsid w:val="6CE15783"/>
    <w:rsid w:val="6D401DE3"/>
    <w:rsid w:val="6D5274E7"/>
    <w:rsid w:val="6DE952B7"/>
    <w:rsid w:val="6DF71E80"/>
    <w:rsid w:val="6E3040FC"/>
    <w:rsid w:val="6E8614C1"/>
    <w:rsid w:val="6EF10352"/>
    <w:rsid w:val="6F185E82"/>
    <w:rsid w:val="6F6A24B3"/>
    <w:rsid w:val="6FB377EB"/>
    <w:rsid w:val="709E3740"/>
    <w:rsid w:val="717D09E7"/>
    <w:rsid w:val="71C50B09"/>
    <w:rsid w:val="71C568AC"/>
    <w:rsid w:val="71CC0D50"/>
    <w:rsid w:val="71EF5CFC"/>
    <w:rsid w:val="727E6F0A"/>
    <w:rsid w:val="72AF5BBC"/>
    <w:rsid w:val="74034BE4"/>
    <w:rsid w:val="74051691"/>
    <w:rsid w:val="74CF1C9F"/>
    <w:rsid w:val="76373B82"/>
    <w:rsid w:val="76625FA4"/>
    <w:rsid w:val="76740FB6"/>
    <w:rsid w:val="770658B4"/>
    <w:rsid w:val="772C3FFF"/>
    <w:rsid w:val="776A5EB9"/>
    <w:rsid w:val="782830BE"/>
    <w:rsid w:val="78384E5B"/>
    <w:rsid w:val="7945375D"/>
    <w:rsid w:val="7AA679EF"/>
    <w:rsid w:val="7AB462B1"/>
    <w:rsid w:val="7AB70E79"/>
    <w:rsid w:val="7B430CF1"/>
    <w:rsid w:val="7D2E3138"/>
    <w:rsid w:val="7D830F78"/>
    <w:rsid w:val="7D944857"/>
    <w:rsid w:val="7DDF28E5"/>
    <w:rsid w:val="7E266DD3"/>
    <w:rsid w:val="7E356E1F"/>
    <w:rsid w:val="7EA5419C"/>
    <w:rsid w:val="7EE7686E"/>
    <w:rsid w:val="7F5C786A"/>
    <w:rsid w:val="7FBB5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1"/>
    <w:autoRedefine/>
    <w:qFormat/>
    <w:uiPriority w:val="99"/>
    <w:pPr>
      <w:keepNext/>
      <w:keepLines/>
      <w:spacing w:before="340" w:after="330" w:line="576" w:lineRule="auto"/>
      <w:outlineLvl w:val="0"/>
    </w:pPr>
    <w:rPr>
      <w:rFonts w:ascii="Times New Roman" w:hAnsi="Times New Roman" w:eastAsia="宋体" w:cs="Times New Roman"/>
      <w:b/>
      <w:bCs/>
      <w:kern w:val="44"/>
      <w:sz w:val="44"/>
      <w:szCs w:val="44"/>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1"/>
    <w:next w:val="1"/>
    <w:autoRedefine/>
    <w:qFormat/>
    <w:uiPriority w:val="99"/>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4">
    <w:name w:val="Body Text"/>
    <w:basedOn w:val="1"/>
    <w:link w:val="15"/>
    <w:autoRedefine/>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paragraph" w:styleId="5">
    <w:name w:val="Date"/>
    <w:basedOn w:val="1"/>
    <w:next w:val="1"/>
    <w:link w:val="12"/>
    <w:autoRedefine/>
    <w:semiHidden/>
    <w:unhideWhenUsed/>
    <w:qFormat/>
    <w:uiPriority w:val="99"/>
    <w:pPr>
      <w:ind w:left="100" w:leftChars="2500"/>
    </w:pPr>
  </w:style>
  <w:style w:type="paragraph" w:styleId="6">
    <w:name w:val="footer"/>
    <w:basedOn w:val="1"/>
    <w:link w:val="14"/>
    <w:autoRedefine/>
    <w:unhideWhenUsed/>
    <w:qFormat/>
    <w:uiPriority w:val="99"/>
    <w:pPr>
      <w:tabs>
        <w:tab w:val="center" w:pos="4153"/>
        <w:tab w:val="right" w:pos="8306"/>
      </w:tabs>
      <w:snapToGrid w:val="0"/>
      <w:jc w:val="left"/>
    </w:pPr>
    <w:rPr>
      <w:sz w:val="18"/>
      <w:szCs w:val="18"/>
    </w:rPr>
  </w:style>
  <w:style w:type="paragraph" w:styleId="7">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1">
    <w:name w:val="标题 1 字符"/>
    <w:basedOn w:val="10"/>
    <w:link w:val="3"/>
    <w:autoRedefine/>
    <w:qFormat/>
    <w:uiPriority w:val="99"/>
    <w:rPr>
      <w:rFonts w:ascii="Times New Roman" w:hAnsi="Times New Roman" w:eastAsia="宋体" w:cs="Times New Roman"/>
      <w:b/>
      <w:bCs/>
      <w:kern w:val="44"/>
      <w:sz w:val="44"/>
      <w:szCs w:val="44"/>
    </w:rPr>
  </w:style>
  <w:style w:type="character" w:customStyle="1" w:styleId="12">
    <w:name w:val="日期 字符"/>
    <w:basedOn w:val="10"/>
    <w:link w:val="5"/>
    <w:autoRedefine/>
    <w:semiHidden/>
    <w:qFormat/>
    <w:uiPriority w:val="99"/>
  </w:style>
  <w:style w:type="character" w:customStyle="1" w:styleId="13">
    <w:name w:val="页眉 字符"/>
    <w:basedOn w:val="10"/>
    <w:link w:val="7"/>
    <w:autoRedefine/>
    <w:qFormat/>
    <w:uiPriority w:val="99"/>
    <w:rPr>
      <w:kern w:val="2"/>
      <w:sz w:val="18"/>
      <w:szCs w:val="18"/>
    </w:rPr>
  </w:style>
  <w:style w:type="character" w:customStyle="1" w:styleId="14">
    <w:name w:val="页脚 字符"/>
    <w:basedOn w:val="10"/>
    <w:link w:val="6"/>
    <w:autoRedefine/>
    <w:qFormat/>
    <w:uiPriority w:val="99"/>
    <w:rPr>
      <w:kern w:val="2"/>
      <w:sz w:val="18"/>
      <w:szCs w:val="18"/>
    </w:rPr>
  </w:style>
  <w:style w:type="character" w:customStyle="1" w:styleId="15">
    <w:name w:val="正文文本 字符"/>
    <w:basedOn w:val="10"/>
    <w:link w:val="4"/>
    <w:autoRedefine/>
    <w:semiHidden/>
    <w:qFormat/>
    <w:uiPriority w:val="0"/>
    <w:rPr>
      <w:rFonts w:ascii="Arial" w:hAnsi="Arial" w:eastAsia="Arial" w:cs="Arial"/>
      <w:snapToGrid w:val="0"/>
      <w:color w:val="000000"/>
      <w:sz w:val="21"/>
      <w:szCs w:val="21"/>
      <w:lang w:eastAsia="en-US"/>
    </w:rPr>
  </w:style>
  <w:style w:type="character" w:customStyle="1" w:styleId="16">
    <w:name w:val="font11"/>
    <w:basedOn w:val="10"/>
    <w:qFormat/>
    <w:uiPriority w:val="0"/>
    <w:rPr>
      <w:rFonts w:hint="eastAsia" w:ascii="仿宋" w:hAnsi="仿宋" w:eastAsia="仿宋" w:cs="仿宋"/>
      <w:b/>
      <w:bCs/>
      <w:color w:val="000000"/>
      <w:sz w:val="24"/>
      <w:szCs w:val="24"/>
      <w:u w:val="none"/>
    </w:rPr>
  </w:style>
  <w:style w:type="character" w:customStyle="1" w:styleId="17">
    <w:name w:val="font41"/>
    <w:basedOn w:val="10"/>
    <w:qFormat/>
    <w:uiPriority w:val="0"/>
    <w:rPr>
      <w:rFonts w:hint="default" w:ascii="Times New Roman" w:hAnsi="Times New Roman" w:cs="Times New Roman"/>
      <w:b/>
      <w:bCs/>
      <w:color w:val="000000"/>
      <w:sz w:val="24"/>
      <w:szCs w:val="24"/>
      <w:u w:val="none"/>
    </w:rPr>
  </w:style>
  <w:style w:type="character" w:customStyle="1" w:styleId="18">
    <w:name w:val="font71"/>
    <w:basedOn w:val="10"/>
    <w:qFormat/>
    <w:uiPriority w:val="0"/>
    <w:rPr>
      <w:rFonts w:ascii="仿宋" w:hAnsi="仿宋" w:eastAsia="仿宋" w:cs="仿宋"/>
      <w:b/>
      <w:bCs/>
      <w:color w:val="000000"/>
      <w:sz w:val="24"/>
      <w:szCs w:val="24"/>
      <w:u w:val="none"/>
    </w:rPr>
  </w:style>
  <w:style w:type="character" w:customStyle="1" w:styleId="19">
    <w:name w:val="font81"/>
    <w:basedOn w:val="10"/>
    <w:qFormat/>
    <w:uiPriority w:val="0"/>
    <w:rPr>
      <w:rFonts w:hint="eastAsia" w:ascii="仿宋" w:hAnsi="仿宋" w:eastAsia="仿宋" w:cs="仿宋"/>
      <w:color w:val="000000"/>
      <w:sz w:val="20"/>
      <w:szCs w:val="20"/>
      <w:u w:val="none"/>
    </w:rPr>
  </w:style>
  <w:style w:type="character" w:customStyle="1" w:styleId="20">
    <w:name w:val="font9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2289</Words>
  <Characters>2820</Characters>
  <Lines>45</Lines>
  <Paragraphs>12</Paragraphs>
  <TotalTime>15</TotalTime>
  <ScaleCrop>false</ScaleCrop>
  <LinksUpToDate>false</LinksUpToDate>
  <CharactersWithSpaces>2820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2023-05-23T11:49:00Z</dcterms:created>
  <dc:creator>Administrator</dc:creator>
  <cp:lastModifiedBy>Sunshine</cp:lastModifiedBy>
  <dcterms:modified xsi:type="dcterms:W3CDTF">2026-09-10T04:22:09Z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42B400ACDB5846BDB20D9B9013031673_13</vt:lpwstr>
  </property>
  <property fmtid="{D5CDD505-2E9C-101B-9397-08002B2CF9AE}" pid="4" name="KSOTemplateDocerSaveRecord">
    <vt:lpwstr>eyJoZGlkIjoiNDk1NzhhYTMzYTBlN2E5Njk1NjBiMGUzZDdmNmJkNmUiLCJ1c2VySWQiOiIxMTMzMTAxNTMxIn0=</vt:lpwstr>
  </property>
</Properties>
</file>